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90B8" w14:textId="77777777" w:rsidR="00533EED" w:rsidRPr="007E59E1" w:rsidRDefault="003B7B40">
      <w:pPr>
        <w:tabs>
          <w:tab w:val="left" w:pos="0"/>
        </w:tabs>
        <w:rPr>
          <w:rFonts w:ascii="Arial" w:hAnsi="Arial" w:cs="Arial"/>
          <w:b/>
          <w:sz w:val="18"/>
          <w:szCs w:val="18"/>
        </w:rPr>
      </w:pPr>
      <w:r w:rsidRPr="007E59E1">
        <w:rPr>
          <w:rFonts w:ascii="Arial" w:hAnsi="Arial" w:cs="Arial"/>
          <w:b/>
          <w:sz w:val="18"/>
          <w:szCs w:val="18"/>
        </w:rPr>
        <w:t>APPLICABLE STATES:</w:t>
      </w:r>
    </w:p>
    <w:p w14:paraId="4EF5AFDF" w14:textId="134DF936" w:rsidR="00533EED" w:rsidRDefault="003B7B40">
      <w:pPr>
        <w:tabs>
          <w:tab w:val="left" w:pos="0"/>
          <w:tab w:val="left" w:pos="720"/>
        </w:tabs>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w:t>
      </w:r>
      <w:proofErr w:type="gramStart"/>
      <w:r w:rsidRPr="007E59E1">
        <w:rPr>
          <w:rFonts w:ascii="Arial" w:hAnsi="Arial" w:cs="Arial"/>
          <w:sz w:val="18"/>
          <w:szCs w:val="18"/>
        </w:rPr>
        <w:t>offer</w:t>
      </w:r>
      <w:proofErr w:type="gramEnd"/>
      <w:r w:rsidRPr="007E59E1">
        <w:rPr>
          <w:rFonts w:ascii="Arial" w:hAnsi="Arial" w:cs="Arial"/>
          <w:sz w:val="18"/>
          <w:szCs w:val="18"/>
        </w:rPr>
        <w:t xml:space="preserve"> and Customer intends to purchase </w:t>
      </w:r>
      <w:r w:rsidR="0054549F" w:rsidRPr="007E59E1">
        <w:rPr>
          <w:rFonts w:ascii="Arial" w:hAnsi="Arial" w:cs="Arial"/>
          <w:sz w:val="18"/>
          <w:szCs w:val="18"/>
        </w:rPr>
        <w:t xml:space="preserve">WLV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77777777" w:rsidR="00B65720" w:rsidRPr="007E59E1" w:rsidRDefault="00B65720">
      <w:pPr>
        <w:tabs>
          <w:tab w:val="left" w:pos="0"/>
          <w:tab w:val="left" w:pos="720"/>
        </w:tabs>
        <w:jc w:val="both"/>
        <w:rPr>
          <w:rFonts w:ascii="Arial" w:hAnsi="Arial" w:cs="Arial"/>
          <w:sz w:val="18"/>
          <w:szCs w:val="18"/>
        </w:rPr>
      </w:pPr>
    </w:p>
    <w:tbl>
      <w:tblPr>
        <w:tblW w:w="32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96"/>
      </w:tblGrid>
      <w:tr w:rsidR="00B65720" w:rsidRPr="00B131F6" w14:paraId="1DBE330B" w14:textId="77777777" w:rsidTr="00B65720">
        <w:tc>
          <w:tcPr>
            <w:tcW w:w="3296" w:type="dxa"/>
            <w:shd w:val="clear" w:color="auto" w:fill="A0A0A0"/>
            <w:vAlign w:val="center"/>
          </w:tcPr>
          <w:p w14:paraId="7FFCBBD1" w14:textId="77777777" w:rsidR="00B65720" w:rsidRPr="00B131F6" w:rsidRDefault="00B65720" w:rsidP="00D424BD">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B65720">
        <w:tc>
          <w:tcPr>
            <w:tcW w:w="3296" w:type="dxa"/>
          </w:tcPr>
          <w:p w14:paraId="1F483184" w14:textId="77777777" w:rsidR="00B65720" w:rsidRPr="00B131F6" w:rsidRDefault="00B65720" w:rsidP="00D424BD">
            <w:pPr>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B65720">
        <w:tc>
          <w:tcPr>
            <w:tcW w:w="3296" w:type="dxa"/>
          </w:tcPr>
          <w:p w14:paraId="6BCD7635" w14:textId="0C77FCE2" w:rsidR="00B65720" w:rsidRPr="00B131F6" w:rsidRDefault="00B65720" w:rsidP="00D424BD">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B65720">
        <w:tc>
          <w:tcPr>
            <w:tcW w:w="3296" w:type="dxa"/>
          </w:tcPr>
          <w:p w14:paraId="6A2C41A1"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B65720">
        <w:tc>
          <w:tcPr>
            <w:tcW w:w="3296" w:type="dxa"/>
          </w:tcPr>
          <w:p w14:paraId="0F1296C0" w14:textId="6909425A"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03273D0" w14:textId="77777777" w:rsidTr="00B65720">
        <w:tc>
          <w:tcPr>
            <w:tcW w:w="3296" w:type="dxa"/>
          </w:tcPr>
          <w:p w14:paraId="5CB17DC2" w14:textId="23436092"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Indiana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sidDel="002B6943">
              <w:rPr>
                <w:rFonts w:ascii="Arial" w:hAnsi="Arial" w:cs="Arial"/>
                <w:bCs/>
                <w:sz w:val="20"/>
              </w:rPr>
              <w:t xml:space="preserve"> </w:t>
            </w:r>
          </w:p>
        </w:tc>
      </w:tr>
      <w:tr w:rsidR="00B65720" w:rsidRPr="00B131F6" w14:paraId="54B7AFF8" w14:textId="77777777" w:rsidTr="00B65720">
        <w:tc>
          <w:tcPr>
            <w:tcW w:w="3296" w:type="dxa"/>
          </w:tcPr>
          <w:p w14:paraId="4A91C176" w14:textId="6ADC8DC3"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15F403" w14:textId="77777777" w:rsidTr="00B65720">
        <w:tc>
          <w:tcPr>
            <w:tcW w:w="3296" w:type="dxa"/>
          </w:tcPr>
          <w:p w14:paraId="25E6B0B6"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Kansas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A046D4D" w14:textId="77777777" w:rsidTr="00B65720">
        <w:tc>
          <w:tcPr>
            <w:tcW w:w="3296" w:type="dxa"/>
          </w:tcPr>
          <w:p w14:paraId="7C072ADD" w14:textId="2A37720B" w:rsidR="00B65720" w:rsidRPr="00B131F6" w:rsidRDefault="00B65720" w:rsidP="00D424BD">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E1DC41" w14:textId="77777777" w:rsidTr="00B65720">
        <w:tc>
          <w:tcPr>
            <w:tcW w:w="3296" w:type="dxa"/>
          </w:tcPr>
          <w:p w14:paraId="57322C7F" w14:textId="2C1EE1BF"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Missouri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93FE4AD" w14:textId="77777777" w:rsidTr="00B65720">
        <w:tc>
          <w:tcPr>
            <w:tcW w:w="3296" w:type="dxa"/>
          </w:tcPr>
          <w:p w14:paraId="05CB7478" w14:textId="37C71662"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B65720">
        <w:tc>
          <w:tcPr>
            <w:tcW w:w="3296" w:type="dxa"/>
          </w:tcPr>
          <w:p w14:paraId="5334ACD2"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B65720">
        <w:tc>
          <w:tcPr>
            <w:tcW w:w="3296" w:type="dxa"/>
          </w:tcPr>
          <w:p w14:paraId="18360A9B" w14:textId="6BB277B4"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4AF3A960" w14:textId="77777777" w:rsidTr="00B65720">
        <w:tc>
          <w:tcPr>
            <w:tcW w:w="3296" w:type="dxa"/>
          </w:tcPr>
          <w:p w14:paraId="2A8EFFAF"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New Jersey</w:t>
            </w:r>
            <w:r w:rsidRPr="00B131F6">
              <w:rPr>
                <w:rFonts w:ascii="Arial" w:hAnsi="Arial" w:cs="Arial"/>
                <w:bCs/>
                <w:sz w:val="20"/>
              </w:rPr>
              <w:t xml:space="preserve"> </w:t>
            </w:r>
            <w:r w:rsidRPr="00B131F6">
              <w:rPr>
                <w:rFonts w:ascii="Arial" w:hAnsi="Arial" w:cs="Arial"/>
                <w:b/>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B65720">
        <w:tc>
          <w:tcPr>
            <w:tcW w:w="3296" w:type="dxa"/>
          </w:tcPr>
          <w:p w14:paraId="00B5A8B0" w14:textId="38A726E2"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09E8A7F" w14:textId="77777777" w:rsidTr="00B65720">
        <w:tc>
          <w:tcPr>
            <w:tcW w:w="3296" w:type="dxa"/>
          </w:tcPr>
          <w:p w14:paraId="46F21864" w14:textId="7F8B748E"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North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7EE2A6FD" w14:textId="77777777" w:rsidTr="00B65720">
        <w:tc>
          <w:tcPr>
            <w:tcW w:w="3296" w:type="dxa"/>
          </w:tcPr>
          <w:p w14:paraId="6D33FFA1" w14:textId="77777777" w:rsidR="00B65720" w:rsidRPr="00B131F6" w:rsidRDefault="00B65720" w:rsidP="00D424BD">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B1073CC" w14:textId="77777777" w:rsidTr="00B65720">
        <w:tc>
          <w:tcPr>
            <w:tcW w:w="3296" w:type="dxa"/>
          </w:tcPr>
          <w:p w14:paraId="582D4081" w14:textId="24035E3A"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Ohio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88250BE" w14:textId="77777777" w:rsidTr="00B65720">
        <w:tc>
          <w:tcPr>
            <w:tcW w:w="3296" w:type="dxa"/>
          </w:tcPr>
          <w:p w14:paraId="029D52E8" w14:textId="3042AD9D"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F673955" w14:textId="77777777" w:rsidTr="00B65720">
        <w:tc>
          <w:tcPr>
            <w:tcW w:w="3296" w:type="dxa"/>
          </w:tcPr>
          <w:p w14:paraId="6A606749"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Pennsylvania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07A4A51" w14:textId="77777777" w:rsidTr="00B65720">
        <w:tc>
          <w:tcPr>
            <w:tcW w:w="3296" w:type="dxa"/>
          </w:tcPr>
          <w:p w14:paraId="060F353E"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South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Pr>
                <w:rFonts w:ascii="Arial" w:hAnsi="Arial" w:cs="Arial"/>
                <w:bCs/>
                <w:sz w:val="20"/>
              </w:rPr>
              <w:t xml:space="preserve"> </w:t>
            </w:r>
          </w:p>
        </w:tc>
      </w:tr>
      <w:tr w:rsidR="00B65720" w:rsidRPr="00B131F6" w14:paraId="12DB795E" w14:textId="77777777" w:rsidTr="00B65720">
        <w:tc>
          <w:tcPr>
            <w:tcW w:w="3296" w:type="dxa"/>
          </w:tcPr>
          <w:p w14:paraId="3E81C125" w14:textId="77777777" w:rsidR="00B65720" w:rsidRPr="00B131F6" w:rsidRDefault="00B65720" w:rsidP="00D424BD">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C59C66B" w14:textId="77777777" w:rsidTr="00B65720">
        <w:tc>
          <w:tcPr>
            <w:tcW w:w="3296" w:type="dxa"/>
          </w:tcPr>
          <w:p w14:paraId="08CBC539" w14:textId="090B3203"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Tennessee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p>
        </w:tc>
      </w:tr>
      <w:tr w:rsidR="00B65720" w:rsidRPr="00B131F6" w14:paraId="6F308691" w14:textId="77777777" w:rsidTr="00B65720">
        <w:tc>
          <w:tcPr>
            <w:tcW w:w="3296" w:type="dxa"/>
          </w:tcPr>
          <w:p w14:paraId="6B1DBEE0" w14:textId="0D8A45A1"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Texas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5DFEEF9" w14:textId="77777777" w:rsidTr="00B65720">
        <w:tc>
          <w:tcPr>
            <w:tcW w:w="3296" w:type="dxa"/>
          </w:tcPr>
          <w:p w14:paraId="33A757CC" w14:textId="77777777" w:rsidR="00B65720" w:rsidRPr="00B131F6" w:rsidRDefault="00B65720" w:rsidP="00D424BD">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240BA8" w14:textId="77777777" w:rsidTr="00B65720">
        <w:tc>
          <w:tcPr>
            <w:tcW w:w="3296" w:type="dxa"/>
          </w:tcPr>
          <w:p w14:paraId="6ADF9355" w14:textId="77777777"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Virginia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5DB69E1" w14:textId="77777777" w:rsidTr="00B65720">
        <w:tc>
          <w:tcPr>
            <w:tcW w:w="3296" w:type="dxa"/>
          </w:tcPr>
          <w:p w14:paraId="67DFF589" w14:textId="0C9DEF3C" w:rsidR="00B65720" w:rsidRPr="00B131F6" w:rsidRDefault="00B65720" w:rsidP="00D424BD">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B65720">
        <w:tc>
          <w:tcPr>
            <w:tcW w:w="3296" w:type="dxa"/>
          </w:tcPr>
          <w:p w14:paraId="7EFE6C50" w14:textId="7ACF58D3" w:rsidR="00B65720" w:rsidRPr="00B131F6" w:rsidRDefault="00B65720" w:rsidP="00D424BD">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77777777" w:rsidR="004F0FE4" w:rsidRDefault="004F0FE4">
      <w:pPr>
        <w:rPr>
          <w:rFonts w:ascii="Arial" w:hAnsi="Arial"/>
          <w:sz w:val="16"/>
        </w:rPr>
      </w:pPr>
      <w:r>
        <w:rPr>
          <w:rFonts w:ascii="Arial" w:hAnsi="Arial"/>
          <w:sz w:val="16"/>
        </w:rPr>
        <w:br w:type="page"/>
      </w:r>
    </w:p>
    <w:p w14:paraId="2F693AA6" w14:textId="77777777" w:rsidR="00533EED" w:rsidRDefault="00533EED">
      <w:pPr>
        <w:suppressAutoHyphens/>
        <w:spacing w:before="120" w:after="60"/>
        <w:ind w:firstLine="720"/>
        <w:jc w:val="both"/>
        <w:rPr>
          <w:rFonts w:ascii="Arial" w:hAnsi="Arial"/>
          <w:sz w:val="16"/>
        </w:rPr>
      </w:pPr>
    </w:p>
    <w:p w14:paraId="73B77ED6" w14:textId="77777777" w:rsidR="00533EED" w:rsidRDefault="00533EED">
      <w:pPr>
        <w:suppressAutoHyphens/>
        <w:spacing w:before="120" w:after="60"/>
        <w:jc w:val="both"/>
        <w:rPr>
          <w:rFonts w:ascii="Arial" w:hAnsi="Arial" w:cs="Arial"/>
          <w:sz w:val="16"/>
          <w:szCs w:val="16"/>
        </w:rPr>
        <w:sectPr w:rsidR="00533EED">
          <w:headerReference w:type="default" r:id="rId8"/>
          <w:footerReference w:type="default" r:id="rId9"/>
          <w:pgSz w:w="12240" w:h="15840" w:code="1"/>
          <w:pgMar w:top="432" w:right="432" w:bottom="432" w:left="432" w:header="720" w:footer="720" w:gutter="0"/>
          <w:cols w:space="720"/>
        </w:sectPr>
      </w:pPr>
    </w:p>
    <w:p w14:paraId="7C377E62" w14:textId="4A503641" w:rsidR="00533EED" w:rsidRDefault="00644194" w:rsidP="00DA6859">
      <w:pPr>
        <w:spacing w:before="120" w:after="60"/>
        <w:contextualSpacing/>
        <w:jc w:val="both"/>
        <w:rPr>
          <w:rFonts w:ascii="Arial" w:hAnsi="Arial" w:cs="Arial"/>
          <w:sz w:val="16"/>
          <w:szCs w:val="16"/>
        </w:rPr>
      </w:pPr>
      <w:bookmarkStart w:id="1"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or other service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7F4A8064"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r w:rsidRPr="0083014F">
        <w:rPr>
          <w:rFonts w:ascii="Arial" w:eastAsia="Times New Roman" w:hAnsi="Arial" w:cs="Arial"/>
          <w:sz w:val="16"/>
          <w:szCs w:val="16"/>
        </w:rPr>
        <w:t xml:space="preserve">In order for a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 and Customer agrees to comply with such requirements.</w:t>
      </w:r>
    </w:p>
    <w:bookmarkEnd w:id="1"/>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2" w:name="_Toc416514453"/>
      <w:bookmarkStart w:id="3" w:name="_Ref429275338"/>
      <w:bookmarkStart w:id="4" w:name="_Toc429559494"/>
      <w:bookmarkStart w:id="5" w:name="_Ref464617066"/>
      <w:bookmarkStart w:id="6"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378A31FF"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Each Party will exercise the same degree of care to prevent harm or damage to the other Party and any third parties, its employees, agents or End User Customers, or their property as it employs to protect its own employees, agents, End User Customers and property, but in no case less than a commercially reasonable degree of care.</w:t>
      </w:r>
    </w:p>
    <w:p w14:paraId="5338B6A9" w14:textId="4BACCC8B"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End User Customers</w:t>
      </w:r>
      <w:r w:rsidR="003B7B40">
        <w:rPr>
          <w:rFonts w:ascii="Arial" w:hAnsi="Arial" w:cs="Arial"/>
          <w:sz w:val="16"/>
          <w:szCs w:val="16"/>
        </w:rPr>
        <w:t>.  Specifically, no employee, agent or representative shall monitor any circuits except as required to repair or provide Service of any End User Customer at any time.  Nor shall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3F2FC038"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14:paraId="2458B985" w14:textId="25EE0860"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CenturyLink shall not be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0C531073" w:rsidR="00533EED" w:rsidRDefault="003C60F3" w:rsidP="00634CC2">
      <w:pPr>
        <w:spacing w:before="120" w:after="60"/>
        <w:jc w:val="both"/>
        <w:rPr>
          <w:rFonts w:ascii="Arial" w:hAnsi="Arial" w:cs="Arial"/>
          <w:sz w:val="16"/>
          <w:szCs w:val="16"/>
        </w:rPr>
      </w:pPr>
      <w:bookmarkStart w:id="7"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agrees to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shall hold CenturyLink harmless for any damages to or claims from Customer caused by Customer’s failure to promptly complete or update such questionnaire</w:t>
      </w:r>
      <w:bookmarkEnd w:id="7"/>
      <w:r w:rsidR="003B7B40" w:rsidRPr="00C656AE">
        <w:rPr>
          <w:rFonts w:ascii="Arial" w:hAnsi="Arial" w:cs="Arial"/>
          <w:sz w:val="16"/>
          <w:szCs w:val="16"/>
        </w:rPr>
        <w:t>.</w:t>
      </w:r>
    </w:p>
    <w:bookmarkEnd w:id="2"/>
    <w:bookmarkEnd w:id="3"/>
    <w:bookmarkEnd w:id="4"/>
    <w:bookmarkEnd w:id="5"/>
    <w:bookmarkEnd w:id="6"/>
    <w:p w14:paraId="0A9E9E42" w14:textId="6087E2DD" w:rsidR="00533EED" w:rsidRDefault="003C60F3">
      <w:pPr>
        <w:pStyle w:val="Indent1Char"/>
        <w:tabs>
          <w:tab w:val="clear" w:pos="1440"/>
          <w:tab w:val="left" w:pos="720"/>
        </w:tabs>
        <w:spacing w:before="120" w:after="60"/>
        <w:rPr>
          <w:rFonts w:cs="Arial"/>
          <w:sz w:val="16"/>
          <w:szCs w:val="16"/>
        </w:rPr>
      </w:pPr>
      <w:r>
        <w:rPr>
          <w:rFonts w:cs="Arial"/>
          <w:b/>
          <w:sz w:val="16"/>
          <w:szCs w:val="16"/>
        </w:rPr>
        <w:t>3</w:t>
      </w:r>
      <w:r w:rsidR="003B7B40">
        <w:rPr>
          <w:rFonts w:cs="Arial"/>
          <w:b/>
          <w:sz w:val="16"/>
          <w:szCs w:val="16"/>
        </w:rPr>
        <w:t>.</w:t>
      </w:r>
      <w:r w:rsidR="003B7B40">
        <w:rPr>
          <w:rFonts w:cs="Arial"/>
          <w:sz w:val="16"/>
          <w:szCs w:val="16"/>
        </w:rPr>
        <w:tab/>
      </w:r>
      <w:r w:rsidR="003B7B40">
        <w:rPr>
          <w:rFonts w:cs="Arial"/>
          <w:b/>
          <w:sz w:val="16"/>
          <w:szCs w:val="16"/>
          <w:u w:val="single"/>
        </w:rPr>
        <w:t>Conversions</w:t>
      </w:r>
      <w:r w:rsidR="003B7B40">
        <w:rPr>
          <w:rFonts w:cs="Arial"/>
          <w:sz w:val="16"/>
          <w:szCs w:val="16"/>
        </w:rPr>
        <w:t xml:space="preserve">.  If Customer is obtaining services from CenturyLink under an arrangement or agreement that includes the </w:t>
      </w:r>
      <w:r w:rsidR="003B7B40" w:rsidRPr="001C3903">
        <w:rPr>
          <w:rFonts w:cs="Arial"/>
          <w:sz w:val="16"/>
          <w:szCs w:val="16"/>
        </w:rPr>
        <w:t xml:space="preserve">application of </w:t>
      </w:r>
      <w:r w:rsidR="001C3903" w:rsidRPr="001C3903">
        <w:rPr>
          <w:rFonts w:cs="Arial"/>
          <w:sz w:val="16"/>
          <w:szCs w:val="16"/>
        </w:rPr>
        <w:t>T</w:t>
      </w:r>
      <w:r w:rsidR="003B7B40" w:rsidRPr="001C3903">
        <w:rPr>
          <w:rFonts w:cs="Arial"/>
          <w:sz w:val="16"/>
          <w:szCs w:val="16"/>
        </w:rPr>
        <w:t xml:space="preserve">ermination </w:t>
      </w:r>
      <w:r w:rsidR="001C3903" w:rsidRPr="001C3903">
        <w:rPr>
          <w:rFonts w:cs="Arial"/>
          <w:sz w:val="16"/>
          <w:szCs w:val="16"/>
        </w:rPr>
        <w:t>L</w:t>
      </w:r>
      <w:r w:rsidR="003B7B40" w:rsidRPr="001C3903">
        <w:rPr>
          <w:rFonts w:cs="Arial"/>
          <w:sz w:val="16"/>
          <w:szCs w:val="16"/>
        </w:rPr>
        <w:t xml:space="preserve">iability </w:t>
      </w:r>
      <w:r w:rsidR="001C3903" w:rsidRPr="001C3903">
        <w:rPr>
          <w:rFonts w:cs="Arial"/>
          <w:sz w:val="16"/>
          <w:szCs w:val="16"/>
        </w:rPr>
        <w:t>A</w:t>
      </w:r>
      <w:r w:rsidR="003B7B40" w:rsidRPr="001C3903">
        <w:rPr>
          <w:rFonts w:cs="Arial"/>
          <w:sz w:val="16"/>
          <w:szCs w:val="16"/>
        </w:rPr>
        <w:t>ssessment (TLA) or minimum period charges, and if Customer wishes to convert such services to a Service under this Agreement, th</w:t>
      </w:r>
      <w:r w:rsidR="003B7B40">
        <w:rPr>
          <w:rFonts w:cs="Arial"/>
          <w:sz w:val="16"/>
          <w:szCs w:val="16"/>
        </w:rPr>
        <w:t>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14:paraId="0229FB22" w14:textId="6A7E123A" w:rsidR="00533EED" w:rsidRDefault="003C60F3" w:rsidP="007A6B24">
      <w:pPr>
        <w:pStyle w:val="Indent2"/>
        <w:tabs>
          <w:tab w:val="clear" w:pos="2160"/>
          <w:tab w:val="left" w:pos="720"/>
        </w:tabs>
        <w:spacing w:before="120" w:after="60"/>
        <w:ind w:left="0"/>
        <w:rPr>
          <w:sz w:val="16"/>
          <w:szCs w:val="16"/>
        </w:rPr>
      </w:pPr>
      <w:r>
        <w:rPr>
          <w:rFonts w:cs="Arial"/>
          <w:b/>
          <w:sz w:val="16"/>
          <w:szCs w:val="16"/>
        </w:rPr>
        <w:t>4</w:t>
      </w:r>
      <w:r w:rsidR="003B7B40">
        <w:rPr>
          <w:rFonts w:cs="Arial"/>
          <w:b/>
          <w:sz w:val="16"/>
          <w:szCs w:val="16"/>
        </w:rPr>
        <w:t>.</w:t>
      </w:r>
      <w:r w:rsidR="003B7B40">
        <w:rPr>
          <w:rFonts w:cs="Arial"/>
          <w:sz w:val="16"/>
          <w:szCs w:val="16"/>
        </w:rPr>
        <w:tab/>
      </w:r>
      <w:r w:rsidR="003B7B40">
        <w:rPr>
          <w:rFonts w:cs="Arial"/>
          <w:b/>
          <w:sz w:val="16"/>
          <w:szCs w:val="16"/>
          <w:u w:val="single"/>
        </w:rPr>
        <w:t>Customer Contacts</w:t>
      </w:r>
      <w:r w:rsidR="003B7B40">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sidR="003B7B40">
        <w:rPr>
          <w:rFonts w:cs="Arial"/>
          <w:sz w:val="16"/>
          <w:szCs w:val="16"/>
        </w:rPr>
        <w:t xml:space="preserve">, change orders, training, maintenance, trouble reports, repair, post-sale servicing, </w:t>
      </w:r>
      <w:r w:rsidR="00724223">
        <w:rPr>
          <w:rFonts w:cs="Arial"/>
          <w:sz w:val="16"/>
          <w:szCs w:val="16"/>
        </w:rPr>
        <w:t>billing</w:t>
      </w:r>
      <w:r w:rsidR="003B7B40">
        <w:rPr>
          <w:rFonts w:cs="Arial"/>
          <w:sz w:val="16"/>
          <w:szCs w:val="16"/>
        </w:rPr>
        <w:t xml:space="preserve">, collection and inquiry.  Customer will inform its End User Customers that they are End User Customers of Customer and CenturyLink shall not represent or infer otherwise, but this shall not be interpreted to in any way restrict the ability of CenturyLink personnel to state factually correct information if a need has arisen to converse with such End User Customers.  Customer's End User Customers contacting CenturyLink will be instructed to contact Customer, and CenturyLink's End User Customers contacting Customer will be instructed to contact CenturyLink.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CenturyLink or Customer from discussing its products and services with Customer's or CenturyLink's End User Customers who call the other Party in order to gain information on, or to switch to, such products and services.  </w:t>
      </w:r>
    </w:p>
    <w:p w14:paraId="42E6E1EC" w14:textId="205785DC" w:rsidR="00533EED" w:rsidRPr="007A6B24" w:rsidRDefault="003B7B40" w:rsidP="007A6B24">
      <w:pPr>
        <w:pStyle w:val="ListParagraph"/>
        <w:numPr>
          <w:ilvl w:val="1"/>
          <w:numId w:val="31"/>
        </w:numPr>
        <w:spacing w:before="120" w:after="60" w:line="240" w:lineRule="auto"/>
        <w:ind w:left="0" w:firstLine="0"/>
        <w:jc w:val="both"/>
        <w:rPr>
          <w:rFonts w:ascii="Arial" w:hAnsi="Arial" w:cs="Arial"/>
          <w:snapToGrid w:val="0"/>
          <w:sz w:val="16"/>
          <w:szCs w:val="16"/>
        </w:rPr>
      </w:pPr>
      <w:r w:rsidRPr="007A6B24">
        <w:rPr>
          <w:rFonts w:ascii="Arial" w:hAnsi="Arial" w:cs="Arial"/>
          <w:b/>
          <w:snapToGrid w:val="0"/>
          <w:sz w:val="16"/>
          <w:szCs w:val="16"/>
        </w:rPr>
        <w:t>End User Customer Notices</w:t>
      </w:r>
      <w:r w:rsidR="001C3903">
        <w:rPr>
          <w:rFonts w:ascii="Arial" w:hAnsi="Arial" w:cs="Arial"/>
          <w:b/>
          <w:snapToGrid w:val="0"/>
          <w:sz w:val="16"/>
          <w:szCs w:val="16"/>
        </w:rPr>
        <w:t>.</w:t>
      </w:r>
      <w:r w:rsidRPr="007A6B24">
        <w:rPr>
          <w:rFonts w:ascii="Arial" w:hAnsi="Arial" w:cs="Arial"/>
          <w:snapToGrid w:val="0"/>
          <w:sz w:val="16"/>
          <w:szCs w:val="16"/>
        </w:rPr>
        <w:t xml:space="preserve">  In the event CenturyLink terminates Service to Customer for any of the reasons delineated in this Agreement, Customer shall provide </w:t>
      </w:r>
      <w:proofErr w:type="gramStart"/>
      <w:r w:rsidRPr="007A6B24">
        <w:rPr>
          <w:rFonts w:ascii="Arial" w:hAnsi="Arial" w:cs="Arial"/>
          <w:snapToGrid w:val="0"/>
          <w:sz w:val="16"/>
          <w:szCs w:val="16"/>
        </w:rPr>
        <w:t>any and all</w:t>
      </w:r>
      <w:proofErr w:type="gramEnd"/>
      <w:r w:rsidRPr="007A6B24">
        <w:rPr>
          <w:rFonts w:ascii="Arial" w:hAnsi="Arial" w:cs="Arial"/>
          <w:snapToGrid w:val="0"/>
          <w:sz w:val="16"/>
          <w:szCs w:val="16"/>
        </w:rPr>
        <w:t xml:space="preserve"> notices required under applicable law to its End User Customers.  In no event shall CenturyLink be responsible to provide any notice of a termination of this Agreement to Customer’s End User Customers.</w:t>
      </w:r>
    </w:p>
    <w:p w14:paraId="62BA9949" w14:textId="77777777"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8" w:name="z05y8y1_B"/>
      <w:bookmarkStart w:id="9" w:name="z15y8y2_ACDFGHIJKLN12"/>
      <w:bookmarkStart w:id="10" w:name="z05y8y4_B"/>
      <w:bookmarkStart w:id="11" w:name="z15y8y5_ABCDEFGHIJKLMN12"/>
      <w:bookmarkStart w:id="12" w:name="z14y193_ABCDEFGHIJKLMN12"/>
      <w:bookmarkStart w:id="13" w:name="z14y211_ABCDEFGHIJKLMN12"/>
      <w:bookmarkStart w:id="14" w:name="z14y212_ABCDEFGHIJKLMN12"/>
      <w:bookmarkStart w:id="15" w:name="z14y213_ABCDEFGHIJKLMN12"/>
      <w:bookmarkEnd w:id="8"/>
      <w:bookmarkEnd w:id="9"/>
      <w:bookmarkEnd w:id="10"/>
      <w:bookmarkEnd w:id="11"/>
      <w:bookmarkEnd w:id="12"/>
      <w:bookmarkEnd w:id="13"/>
      <w:bookmarkEnd w:id="14"/>
      <w:bookmarkEnd w:id="15"/>
      <w:r>
        <w:rPr>
          <w:rFonts w:cs="Arial"/>
          <w:sz w:val="16"/>
          <w:szCs w:val="16"/>
        </w:rPr>
        <w:br w:type="page"/>
      </w:r>
    </w:p>
    <w:p w14:paraId="2B9774CA" w14:textId="278B28CF" w:rsidR="00533EED" w:rsidRDefault="003B7B40">
      <w:pPr>
        <w:pStyle w:val="Header"/>
        <w:jc w:val="center"/>
        <w:rPr>
          <w:rFonts w:ascii="Arial" w:hAnsi="Arial"/>
          <w:b/>
          <w:sz w:val="18"/>
        </w:rPr>
      </w:pPr>
      <w:bookmarkStart w:id="16" w:name="_Hlk40339093"/>
      <w:r>
        <w:rPr>
          <w:rFonts w:ascii="Arial" w:hAnsi="Arial"/>
          <w:b/>
          <w:sz w:val="18"/>
        </w:rPr>
        <w:lastRenderedPageBreak/>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7" w:name="z111y1_ABCDEFGHIJKLMN12"/>
      <w:bookmarkStart w:id="18" w:name="z111y2_ABCDEFGHIJKLMN12"/>
      <w:bookmarkStart w:id="19" w:name="z111y3_ABCDEFGHIJKLMN12"/>
      <w:bookmarkStart w:id="20" w:name="_DV_M703"/>
      <w:bookmarkStart w:id="21" w:name="z111y4_ABCDEFGHIJKLMN12"/>
      <w:bookmarkStart w:id="22" w:name="z111y5_ABCDEFGHIJKLMN12"/>
      <w:bookmarkStart w:id="23" w:name="z111y6_ABCDEFGHIJKLMN12"/>
      <w:bookmarkStart w:id="24" w:name="z111y7_ABCDEFGHIJKLMN12"/>
      <w:bookmarkStart w:id="25" w:name="z111y8_ABCDEFGHIJKLMN12"/>
      <w:bookmarkStart w:id="26" w:name="z111y9_ABCDEFGHIJKLMN12"/>
      <w:bookmarkStart w:id="27" w:name="z111y10_ABCDEFGHIJKLMN12"/>
      <w:bookmarkStart w:id="28" w:name="z111y11_ABCDEFGHIJKLMN12"/>
      <w:bookmarkStart w:id="29" w:name="z111y12_ABCDEFGHIJKLMN12"/>
      <w:bookmarkStart w:id="30" w:name="_DV_M717"/>
      <w:bookmarkStart w:id="31" w:name="z111y13_ABCDEFGHIJKLMN12"/>
      <w:bookmarkStart w:id="32" w:name="_DV_M720"/>
      <w:bookmarkStart w:id="33" w:name="z111y14_ABCDEFGHIJKLMN12"/>
      <w:bookmarkStart w:id="34" w:name="_DV_M722"/>
      <w:bookmarkStart w:id="35" w:name="z111y15_ABCDEFGHIJKLMN12"/>
      <w:bookmarkStart w:id="36" w:name="_DV_M727"/>
      <w:bookmarkStart w:id="37" w:name="z111y16_ABCDEFGHIJKLMN12"/>
      <w:bookmarkStart w:id="38" w:name="z111y17_ABCDEFGHIJKLMN12"/>
      <w:bookmarkStart w:id="39" w:name="z111y18_ABCDEFGHIJKLMN12"/>
      <w:bookmarkStart w:id="40" w:name="_DV_M736"/>
      <w:bookmarkStart w:id="41" w:name="z111y19_ABCDEFGHIJKLMN12"/>
      <w:bookmarkStart w:id="42" w:name="z111y20_ABCDEFGHIJKLMN12"/>
      <w:bookmarkStart w:id="43" w:name="z111y21_ABCDEFGHIJKLMN12"/>
      <w:bookmarkStart w:id="44" w:name="z111y22_ABCDEFGHIJKLMN12"/>
      <w:bookmarkStart w:id="45" w:name="_DV_M748"/>
      <w:bookmarkStart w:id="46" w:name="z111y23_ABCDEFGHIJKLMN12"/>
      <w:bookmarkStart w:id="47" w:name="z111y24_ABCDEFGHIJKLMN12"/>
      <w:bookmarkStart w:id="48" w:name="z111y25_ABCDEFGHIJKLMN12"/>
      <w:bookmarkStart w:id="49" w:name="z111y26_ABCDEFGHIJKLMN12"/>
      <w:bookmarkStart w:id="50" w:name="z111y27_ABCDEFGHIJKLMN12"/>
      <w:bookmarkStart w:id="51" w:name="z111y28_ABCDEFGHIJKLMN12"/>
      <w:bookmarkStart w:id="52" w:name="z111y29_ABCDEFGHIJKLMN12"/>
      <w:bookmarkStart w:id="53" w:name="z111y30_ABCDEFGHIJKLMN12"/>
      <w:bookmarkStart w:id="54" w:name="z111y31_ABCDEFGHIJKLMN12"/>
      <w:bookmarkStart w:id="55" w:name="z111y32_ABCDEFGHIJKLMN12"/>
      <w:bookmarkStart w:id="56" w:name="z111y33_ABCDEFGHIJKLMN12"/>
      <w:bookmarkStart w:id="57" w:name="z111y34_ABCDEFGHIJKLMN12"/>
      <w:bookmarkStart w:id="58" w:name="_DV_IPM629"/>
      <w:bookmarkStart w:id="59" w:name="z111y34y2_ABCDEFGHIJKLMN12"/>
      <w:bookmarkStart w:id="60" w:name="_DV_IPM630"/>
      <w:bookmarkStart w:id="61" w:name="z111y34y3_ABCDEFGHIJKLMN12"/>
      <w:bookmarkStart w:id="62" w:name="_DV_IPM631"/>
      <w:bookmarkStart w:id="63" w:name="z111y34y4_ABCDEFGHIJKLMN12"/>
      <w:bookmarkStart w:id="64" w:name="_DV_IPM632"/>
      <w:bookmarkStart w:id="65" w:name="z111y34y5_ABCDEFGHIJKLMN12"/>
      <w:bookmarkStart w:id="66" w:name="z111y35_ABCDEFGHIJKLMN12"/>
      <w:bookmarkStart w:id="67" w:name="z111y36_ABCDEFGHIJKLMN12"/>
      <w:bookmarkStart w:id="68" w:name="z111y37_ABCDEFGHIJKLMN12"/>
      <w:bookmarkStart w:id="69" w:name="z15y20y2_ABCDEFGHIJKLMN12"/>
      <w:bookmarkStart w:id="70" w:name="z14y4_ABCDEFGHIJKLMN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1" w:name="z14y5_ABCDEFGHIJKLMN12"/>
      <w:bookmarkStart w:id="72" w:name="z14y7_ABCDEFGHIJKLMN12"/>
      <w:bookmarkEnd w:id="71"/>
      <w:bookmarkEnd w:id="72"/>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0AB79277"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44A3F7B3" w14:textId="0DBA05E4"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3" w:name="z14y20_ABCDEFGHIJKLMN12"/>
      <w:bookmarkStart w:id="74" w:name="z14y21_ABCDEFGHIJKLMN12"/>
      <w:bookmarkStart w:id="75" w:name="z14y22_ABCDEFGHIJKLMN12"/>
      <w:bookmarkStart w:id="76" w:name="z14y23_ABCDEFGHIJKLMN12"/>
      <w:bookmarkStart w:id="77" w:name="z14y24_ABCDEFGHIJKLMN12"/>
      <w:bookmarkStart w:id="78" w:name="z14y25_ABCDEFGHIJKLMN12"/>
      <w:bookmarkStart w:id="79" w:name="z14y26_ABCDEFGHIJKLMN12"/>
      <w:bookmarkStart w:id="80" w:name="z14y27_ABCDEFGHIJKLMN12"/>
      <w:bookmarkStart w:id="81" w:name="z14y28_ABCDEFGHIJKLMN12"/>
      <w:bookmarkStart w:id="82" w:name="z14y29_ABCDEFGHIJKLMN12"/>
      <w:bookmarkStart w:id="83" w:name="z14y29y1_ABCDEFGHIJKLMN12"/>
      <w:bookmarkStart w:id="84" w:name="z0H4y29y2_ACDEFGHIJKLMN12"/>
      <w:bookmarkStart w:id="85" w:name="z14y29y2_ACDEFGHIJKLMN12"/>
      <w:bookmarkStart w:id="86" w:name="z0H4y29y2_B"/>
      <w:bookmarkStart w:id="87" w:name="z14y30_ABCDEFGHIJKLMN12"/>
      <w:bookmarkStart w:id="88" w:name="z14y31_ABCDEFGHIJKLMN12"/>
      <w:bookmarkStart w:id="89" w:name="z14y32_ABCDEFGHIJKLMN12"/>
      <w:bookmarkStart w:id="90" w:name="z14y33_ABCDEFGHIJKLMN12"/>
      <w:bookmarkStart w:id="91" w:name="z14y222_ABCDEFGHIJKLMN12"/>
      <w:bookmarkStart w:id="92" w:name="z14y35_ABCDEFGHIJKLMN12"/>
      <w:bookmarkStart w:id="93" w:name="z04y36_ABCDEFGHIJKLMN"/>
      <w:bookmarkStart w:id="94" w:name="z1y4y1_ABCDEFGHIJKLMN12"/>
      <w:bookmarkStart w:id="95" w:name="z1y4y2_ABCDEFGHIJKLMN12"/>
      <w:bookmarkStart w:id="96" w:name="z14y38_ABCDEFGHIJKLMN12"/>
      <w:bookmarkStart w:id="97" w:name="z14y39_ABCDEFGHIJKLMN1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301C623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Communications Assistance for Law Enforcement Act</w:t>
      </w:r>
      <w:r w:rsidRPr="009833C8">
        <w:rPr>
          <w:rFonts w:cs="Arial"/>
          <w:sz w:val="16"/>
          <w:szCs w:val="16"/>
        </w:rPr>
        <w:t>" or "</w:t>
      </w:r>
      <w:r w:rsidRPr="004373BB">
        <w:rPr>
          <w:rFonts w:cs="Arial"/>
          <w:sz w:val="16"/>
          <w:szCs w:val="16"/>
          <w:u w:val="single"/>
        </w:rPr>
        <w:t>CALEA</w:t>
      </w:r>
      <w:r>
        <w:rPr>
          <w:rFonts w:cs="Arial"/>
          <w:sz w:val="16"/>
          <w:szCs w:val="16"/>
        </w:rPr>
        <w:t>" refers to the duties and obligations of Carriers under Section 229 of the Act.</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2E2A76EE" w14:textId="77777777" w:rsidR="00533EED" w:rsidRDefault="003B7B40" w:rsidP="003F43A3">
      <w:pPr>
        <w:pStyle w:val="Indent1Char"/>
        <w:spacing w:after="120"/>
        <w:rPr>
          <w:rFonts w:cs="Arial"/>
          <w:sz w:val="16"/>
          <w:szCs w:val="16"/>
        </w:rPr>
      </w:pPr>
      <w:bookmarkStart w:id="98" w:name="z14y40_ABCDEFGHIJKLMN12"/>
      <w:bookmarkStart w:id="99" w:name="z14y41_ABCDEFGHIJKLMN12"/>
      <w:bookmarkStart w:id="100" w:name="z14y42_ABCDEFGHIJKLMN12"/>
      <w:bookmarkStart w:id="101" w:name="z14y43_ABCDEFGHIJKLMN12"/>
      <w:bookmarkStart w:id="102" w:name="z14y44_ABCDEFGHIJKLMN12"/>
      <w:bookmarkStart w:id="103" w:name="z14y45_ABCDEFGHIJKLMN12"/>
      <w:bookmarkStart w:id="104" w:name="z14y46_ABCDEFGHIJKLMN12"/>
      <w:bookmarkStart w:id="105" w:name="z14y47_ABCDEFGHIJKLMN12"/>
      <w:bookmarkStart w:id="106" w:name="z14y48_ABCDEFGHIJKLMN12"/>
      <w:bookmarkStart w:id="107" w:name="z14y49_ABCDEFGHIJKLMN12"/>
      <w:bookmarkStart w:id="108" w:name="z14y49y1_ABCDEFGHIJKLMN12"/>
      <w:bookmarkStart w:id="109" w:name="z14y50_ABCDEFGHIJKLMN12"/>
      <w:bookmarkEnd w:id="98"/>
      <w:bookmarkEnd w:id="99"/>
      <w:bookmarkEnd w:id="100"/>
      <w:bookmarkEnd w:id="101"/>
      <w:bookmarkEnd w:id="102"/>
      <w:bookmarkEnd w:id="103"/>
      <w:bookmarkEnd w:id="104"/>
      <w:bookmarkEnd w:id="105"/>
      <w:bookmarkEnd w:id="106"/>
      <w:bookmarkEnd w:id="107"/>
      <w:bookmarkEnd w:id="108"/>
      <w:bookmarkEnd w:id="109"/>
      <w:r>
        <w:rPr>
          <w:rFonts w:cs="Arial"/>
          <w:sz w:val="16"/>
          <w:szCs w:val="16"/>
        </w:rPr>
        <w:t>"</w:t>
      </w:r>
      <w:r>
        <w:rPr>
          <w:sz w:val="16"/>
          <w:u w:val="single"/>
        </w:rPr>
        <w:t>Day</w:t>
      </w:r>
      <w:r>
        <w:rPr>
          <w:rFonts w:cs="Arial"/>
          <w:sz w:val="16"/>
          <w:szCs w:val="16"/>
        </w:rPr>
        <w:t>" means a calendar day unless otherwise specified.</w:t>
      </w:r>
    </w:p>
    <w:p w14:paraId="4DFC413A" w14:textId="77777777" w:rsidR="00673EE5" w:rsidRDefault="00673EE5" w:rsidP="003F43A3">
      <w:pPr>
        <w:pStyle w:val="Indent1Char"/>
        <w:spacing w:after="120"/>
        <w:rPr>
          <w:rFonts w:cs="Arial"/>
          <w:sz w:val="16"/>
          <w:szCs w:val="16"/>
        </w:rPr>
      </w:pPr>
      <w:bookmarkStart w:id="110" w:name="z14y51_ABCDEFGHIJKLMN12"/>
      <w:bookmarkStart w:id="111" w:name="z14y52_ABCDEFGHIJKLMN12"/>
      <w:bookmarkStart w:id="112" w:name="z14y53_ABCDEFGHIJKLMN12"/>
      <w:bookmarkStart w:id="113" w:name="z14y54_ABCDEFGHIJKLMN12"/>
      <w:bookmarkStart w:id="114" w:name="z14y55_ABCDEFGHIJKLMN12"/>
      <w:bookmarkStart w:id="115" w:name="z14y58_ABCDEFGHIJKLMN12"/>
      <w:bookmarkStart w:id="116" w:name="z14y59_ABCDEFGHIJKLMN12"/>
      <w:bookmarkStart w:id="117" w:name="z14y60_ABCDEFGHIJKLMN12"/>
      <w:bookmarkStart w:id="118" w:name="z14y61_ABCDEFGHIJKLMN12"/>
      <w:bookmarkStart w:id="119" w:name="z14y62y1_ABCDEFGHIJKLMN12"/>
      <w:bookmarkStart w:id="120" w:name="z14y62y2_ABCDEFGHIJKLMN12"/>
      <w:bookmarkStart w:id="121" w:name="z14y62y3_ABCDEFGHIJKLMN12"/>
      <w:bookmarkStart w:id="122" w:name="z14y62y4_ABCDEFGHIJKLMN12"/>
      <w:bookmarkStart w:id="123" w:name="z14y62y5_ABCDEFGHIJKLMN12"/>
      <w:bookmarkStart w:id="124" w:name="z14y62y6_ABCDEFGHIJKLMN12"/>
      <w:bookmarkStart w:id="125" w:name="z14y62y7_ABCDEFGHIJKLMN12"/>
      <w:bookmarkStart w:id="126" w:name="z14y63_ABCDEFGHIJKLMN12"/>
      <w:bookmarkStart w:id="127" w:name="z14y66_ABCDEFGHIJKLMN12"/>
      <w:bookmarkStart w:id="128" w:name="z14y67_ABCDEFGHIJKLMN12"/>
      <w:bookmarkStart w:id="129" w:name="z14y69_ABCDEFGHIJKLMN12"/>
      <w:bookmarkStart w:id="130" w:name="z14y68_ABCDEFGHIJKLMN12"/>
      <w:bookmarkStart w:id="131" w:name="z14y70_ABCDEFGHIJKLMN12"/>
      <w:bookmarkStart w:id="132" w:name="z14y71_ABCDEFGHIJKLMN12"/>
      <w:bookmarkStart w:id="133" w:name="z14y72_ABCDEFGHIJKLMN12"/>
      <w:bookmarkStart w:id="134" w:name="z14y73_ABCDEFGHIJKLMN12"/>
      <w:bookmarkStart w:id="135" w:name="z14y74_ABCDEFGHIJKLMN12"/>
      <w:bookmarkStart w:id="136" w:name="z14y75_ABCDEFGHIJKLMN12"/>
      <w:bookmarkStart w:id="137" w:name="z14y76_ABCDEFGHIJKLMN1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End User Customers and other Telecommunications Carriers. </w:t>
      </w:r>
    </w:p>
    <w:p w14:paraId="1BA1BAC6" w14:textId="77777777" w:rsidR="00673EE5" w:rsidRDefault="00673EE5" w:rsidP="003F43A3">
      <w:pPr>
        <w:pStyle w:val="Indent1Char"/>
        <w:spacing w:after="120"/>
        <w:rPr>
          <w:rFonts w:cs="Arial"/>
          <w:sz w:val="16"/>
          <w:szCs w:val="16"/>
        </w:rPr>
      </w:pPr>
      <w:bookmarkStart w:id="138" w:name="z14y64_ABCDEFGHIJKLMN12"/>
      <w:bookmarkStart w:id="139" w:name="z14y65_ABCDEFGHIJKLMN12"/>
      <w:bookmarkEnd w:id="138"/>
      <w:bookmarkEnd w:id="139"/>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6870736"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Due Date</w:t>
      </w:r>
      <w:r>
        <w:rPr>
          <w:rFonts w:cs="Arial"/>
          <w:sz w:val="16"/>
          <w:szCs w:val="16"/>
        </w:rPr>
        <w:t>" means the specific date on which the requested Service is to be available to the CLEC or to CLEC's End User Customer, as applicable.</w:t>
      </w:r>
    </w:p>
    <w:p w14:paraId="252C6ED2" w14:textId="77777777" w:rsidR="00533EED" w:rsidRDefault="003B7B40" w:rsidP="003F43A3">
      <w:pPr>
        <w:pStyle w:val="Indent1Char"/>
        <w:spacing w:after="120"/>
        <w:rPr>
          <w:rFonts w:cs="Arial"/>
          <w:sz w:val="16"/>
          <w:szCs w:val="16"/>
        </w:rPr>
      </w:pPr>
      <w:r>
        <w:rPr>
          <w:rFonts w:cs="Arial"/>
          <w:sz w:val="16"/>
          <w:szCs w:val="16"/>
        </w:rPr>
        <w:t>"</w:t>
      </w:r>
      <w:r>
        <w:rPr>
          <w:sz w:val="16"/>
          <w:u w:val="single"/>
        </w:rPr>
        <w:t>End User Customer</w:t>
      </w:r>
      <w:r>
        <w:rPr>
          <w:rFonts w:cs="Arial"/>
          <w:sz w:val="16"/>
          <w:szCs w:val="16"/>
        </w:rPr>
        <w:t>" means a third party retail Customer that subscribes to a Telecommunications Service or information service provided by either of the Parties or by another Carrier or by two (2) or more Carriers.</w:t>
      </w:r>
    </w:p>
    <w:p w14:paraId="34A43DB7" w14:textId="77777777" w:rsidR="00533EED" w:rsidRDefault="003B7B40" w:rsidP="003F43A3">
      <w:pPr>
        <w:pStyle w:val="Indent1Char"/>
        <w:spacing w:after="120"/>
        <w:rPr>
          <w:rFonts w:cs="Arial"/>
          <w:sz w:val="16"/>
          <w:szCs w:val="16"/>
        </w:rPr>
      </w:pPr>
      <w:bookmarkStart w:id="140" w:name="z14y77_ABCDEFGHIJKLMN12"/>
      <w:bookmarkEnd w:id="140"/>
      <w:r>
        <w:rPr>
          <w:rFonts w:cs="Arial"/>
          <w:sz w:val="16"/>
          <w:szCs w:val="16"/>
        </w:rPr>
        <w:t>"</w:t>
      </w:r>
      <w:r>
        <w:rPr>
          <w:rFonts w:cs="Arial"/>
          <w:sz w:val="16"/>
          <w:szCs w:val="16"/>
          <w:u w:val="single"/>
        </w:rPr>
        <w:t>Environmental Hazard</w:t>
      </w:r>
      <w:r>
        <w:rPr>
          <w:rFonts w:cs="Arial"/>
          <w:sz w:val="16"/>
          <w:szCs w:val="16"/>
        </w:rPr>
        <w:t>" means any substance the presence, use, transport, abandonment or disposal of which: (</w:t>
      </w:r>
      <w:proofErr w:type="spellStart"/>
      <w:r>
        <w:rPr>
          <w:rFonts w:cs="Arial"/>
          <w:sz w:val="16"/>
          <w:szCs w:val="16"/>
        </w:rPr>
        <w:t>i</w:t>
      </w:r>
      <w:proofErr w:type="spellEnd"/>
      <w:r>
        <w:rPr>
          <w:rFonts w:cs="Arial"/>
          <w:sz w:val="16"/>
          <w:szCs w:val="16"/>
        </w:rPr>
        <w:t>) requires investigation, remediation, compensation, fine or penalty under any Applicable Law (including, without limitation, the Comprehensive Environmental Response Compensation and Liability Act, Superfund Amendment and Reauthorization Act, Resource Conservation Recovery Act, the Occupational Safety and Health Act and provisions with similar purposes in applicable foreign, state and local jurisdictions); or (ii) poses risks to human health, safety or the environment (including, without limitation, indoor, outdoor or orbital space environments) and is regulated under any Applicable Law.</w:t>
      </w:r>
    </w:p>
    <w:p w14:paraId="1BE05DA4" w14:textId="7E91CB23" w:rsidR="00533EED" w:rsidRPr="00111B88" w:rsidRDefault="003B7B40" w:rsidP="003F43A3">
      <w:pPr>
        <w:pStyle w:val="Indent1Char"/>
        <w:spacing w:after="12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sidRPr="00111B88">
        <w:rPr>
          <w:rFonts w:cs="Arial"/>
          <w:sz w:val="16"/>
          <w:szCs w:val="16"/>
          <w:u w:val="single"/>
        </w:rPr>
        <w:t xml:space="preserve">Section </w:t>
      </w:r>
      <w:r w:rsidR="0052361A" w:rsidRPr="00111B88">
        <w:rPr>
          <w:rFonts w:cs="Arial"/>
          <w:sz w:val="16"/>
          <w:szCs w:val="16"/>
          <w:u w:val="single"/>
        </w:rPr>
        <w:t>9.11</w:t>
      </w:r>
      <w:r w:rsidR="0052361A" w:rsidRPr="00111B88">
        <w:rPr>
          <w:rFonts w:cs="Arial"/>
          <w:sz w:val="16"/>
          <w:szCs w:val="16"/>
        </w:rPr>
        <w:t xml:space="preserve"> of the Agreement</w:t>
      </w:r>
      <w:r w:rsidRPr="00111B88">
        <w:rPr>
          <w:rFonts w:cs="Arial"/>
          <w:sz w:val="16"/>
          <w:szCs w:val="16"/>
        </w:rPr>
        <w:t>.</w:t>
      </w:r>
    </w:p>
    <w:p w14:paraId="09750CFC" w14:textId="77777777" w:rsidR="00533EED" w:rsidRDefault="003B7B40" w:rsidP="003F43A3">
      <w:pPr>
        <w:pStyle w:val="Indent1Char"/>
        <w:spacing w:after="120"/>
        <w:rPr>
          <w:rFonts w:cs="Arial"/>
          <w:sz w:val="16"/>
          <w:szCs w:val="16"/>
        </w:rPr>
      </w:pPr>
      <w:bookmarkStart w:id="141" w:name="z14y78_ABCDEFGHIJKLMN12"/>
      <w:bookmarkStart w:id="142" w:name="z14y79_ABCDEFGHIJKLMN12"/>
      <w:bookmarkStart w:id="143" w:name="z14y80_ABCDEFGHIJKLMN12"/>
      <w:bookmarkStart w:id="144" w:name="z14y81_ABCDEFGHIJKLMN12"/>
      <w:bookmarkStart w:id="145" w:name="z14y82_ABCDEFGHIJKLMN12"/>
      <w:bookmarkEnd w:id="141"/>
      <w:bookmarkEnd w:id="142"/>
      <w:bookmarkEnd w:id="143"/>
      <w:bookmarkEnd w:id="144"/>
      <w:bookmarkEnd w:id="145"/>
      <w:r>
        <w:rPr>
          <w:rFonts w:cs="Arial"/>
          <w:sz w:val="16"/>
          <w:szCs w:val="16"/>
        </w:rPr>
        <w:t>"</w:t>
      </w:r>
      <w:r>
        <w:rPr>
          <w:sz w:val="16"/>
          <w:u w:val="single"/>
        </w:rPr>
        <w:t>FCC</w:t>
      </w:r>
      <w:r>
        <w:rPr>
          <w:rFonts w:cs="Arial"/>
          <w:sz w:val="16"/>
          <w:szCs w:val="16"/>
        </w:rPr>
        <w:t>" means the Federal Communications Commission.</w:t>
      </w:r>
      <w:bookmarkStart w:id="146" w:name="z14y83_ABCDEFGHIJKLMN12"/>
      <w:bookmarkStart w:id="147" w:name="z14y84_ABCDEFGHIJKLMN12"/>
      <w:bookmarkStart w:id="148" w:name="z14y85_ABCDEFGHIJKLMN12"/>
      <w:bookmarkStart w:id="149" w:name="z14y86_ABCDEFGHIJKLMN12"/>
      <w:bookmarkStart w:id="150" w:name="z14y87_ABCDEFGHIJKLMN12"/>
      <w:bookmarkStart w:id="151" w:name="z14y88_ABCDEFGHIJKLMN12"/>
      <w:bookmarkStart w:id="152" w:name="z14y89_ABCDEFGHIJKLMN12"/>
      <w:bookmarkStart w:id="153" w:name="z14y90_ABCDEFGHIJKLMN12"/>
      <w:bookmarkStart w:id="154" w:name="z14y91_ABCDEFGHIJKLMN12"/>
      <w:bookmarkStart w:id="155" w:name="z14y92_ABCDEFGHIJKLMN2"/>
      <w:bookmarkStart w:id="156" w:name="z14y93_ABCDEFGHIJKLMN12"/>
      <w:bookmarkStart w:id="157" w:name="z04y93y1_CJ"/>
      <w:bookmarkStart w:id="158" w:name="z14y93y1_CJ12"/>
      <w:bookmarkStart w:id="159" w:name="z14y94_ABCDEFGHIJKLMN12"/>
      <w:bookmarkStart w:id="160" w:name="z14y95_ABCDEFGHIJKLMN12"/>
      <w:bookmarkStart w:id="161" w:name="z14y96_ABCDEFGHIJKLMN12"/>
      <w:bookmarkStart w:id="162" w:name="z04y97_A"/>
      <w:bookmarkStart w:id="163" w:name="z14y97_A12"/>
      <w:bookmarkStart w:id="164" w:name="z02y4_ABCDEFGHIJKLMN"/>
      <w:bookmarkStart w:id="165" w:name="z04y97_EFGJKMN"/>
      <w:bookmarkStart w:id="166" w:name="z14y97_EFGJKMN12"/>
      <w:bookmarkStart w:id="167" w:name="z14y98_ABCDEFGHIJKLMN12"/>
      <w:bookmarkStart w:id="168" w:name="z14y99_ABCDEFGHIJKLMN12"/>
      <w:bookmarkStart w:id="169" w:name="z14y101_ABCDEFGHIJKLMN12"/>
      <w:bookmarkStart w:id="170" w:name="z14y102_ABCDEFGHIJKLMN12"/>
      <w:bookmarkStart w:id="171" w:name="z14y103_ABCDEFGHIJKLMN12"/>
      <w:bookmarkStart w:id="172" w:name="z14y104_ABCDEFGHIJKLMN12"/>
      <w:bookmarkStart w:id="173" w:name="z14y105_ABCDEFGHIJKLMN12"/>
      <w:bookmarkStart w:id="174" w:name="z14y106_ABCDEFGHIJKLMN12"/>
      <w:bookmarkStart w:id="175" w:name="z14y107_ABCDEFGHIJKLMN12"/>
      <w:bookmarkStart w:id="176" w:name="z14y108_ABCDEFGHIJKLMN12"/>
      <w:bookmarkStart w:id="177" w:name="z14y109_ABCDEFGHIJKLMN12"/>
      <w:bookmarkStart w:id="178" w:name="z14y110_ABCDEFGHIJKLMN12"/>
      <w:bookmarkStart w:id="179" w:name="z14y1y5_ABCDEFGHIJKLMN12"/>
      <w:bookmarkStart w:id="180" w:name="z14y111_ABCDEFGHIJKLMN12"/>
      <w:bookmarkStart w:id="181" w:name="z14y112_ABCDEFGHIJKLMN12"/>
      <w:bookmarkStart w:id="182" w:name="z14y113_ABCDEFGHIJKLMN12"/>
      <w:bookmarkStart w:id="183" w:name="z14y114_ABCDEFGHIJKLMN12"/>
      <w:bookmarkStart w:id="184" w:name="z14y115_ABCDEFGHIJKLMN12"/>
      <w:bookmarkStart w:id="185" w:name="z14y116_ABCDEFGHIJKLMN12"/>
      <w:bookmarkStart w:id="186" w:name="z14y117_ABCDEFGHIJKLMN12"/>
      <w:bookmarkStart w:id="187" w:name="z14y118_ABCDEFGHIJKLMN12"/>
      <w:bookmarkStart w:id="188" w:name="z14y119_ABCDEFGHIJKLMN12"/>
      <w:bookmarkStart w:id="189" w:name="z14y120_ABCDEFGHIJKLMN12"/>
      <w:bookmarkStart w:id="190" w:name="z14y121_ABCDEFGHIJKLMN12"/>
      <w:bookmarkStart w:id="191" w:name="z14y122_ABCDEFGHIJKLMN12"/>
      <w:bookmarkStart w:id="192" w:name="z14y123_ABCDEFGHIJKLMN12"/>
      <w:bookmarkStart w:id="193" w:name="z14y124_ABCDEFGHIJKLMN12"/>
      <w:bookmarkStart w:id="194" w:name="z14y125_ABCDEFGHIJKLMN12"/>
      <w:bookmarkStart w:id="195" w:name="z14y126_ABCDEFGHIJKLMN1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A7FE00F" w14:textId="7B32EBB5"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sidRPr="0072034D">
        <w:rPr>
          <w:rFonts w:cs="Arial"/>
          <w:sz w:val="16"/>
          <w:szCs w:val="16"/>
          <w:u w:val="single"/>
        </w:rPr>
        <w:t xml:space="preserve">Section </w:t>
      </w:r>
      <w:r w:rsidR="0052361A">
        <w:rPr>
          <w:rFonts w:cs="Arial"/>
          <w:sz w:val="16"/>
          <w:szCs w:val="16"/>
          <w:u w:val="single"/>
        </w:rPr>
        <w:t>9.1</w:t>
      </w:r>
      <w:r w:rsidR="0052361A" w:rsidRPr="00111B88">
        <w:rPr>
          <w:rFonts w:cs="Arial"/>
          <w:sz w:val="16"/>
          <w:szCs w:val="16"/>
        </w:rPr>
        <w:t xml:space="preserve"> of the Agreement</w:t>
      </w:r>
      <w:r>
        <w:rPr>
          <w:rFonts w:cs="Arial"/>
          <w:sz w:val="16"/>
          <w:szCs w:val="16"/>
        </w:rPr>
        <w:t>.</w:t>
      </w:r>
    </w:p>
    <w:p w14:paraId="75A962CC" w14:textId="6DA04FAC"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sidRPr="0072034D">
        <w:rPr>
          <w:rFonts w:cs="Arial"/>
          <w:sz w:val="16"/>
          <w:szCs w:val="16"/>
          <w:u w:val="single"/>
        </w:rPr>
        <w:t>Section</w:t>
      </w:r>
      <w:r w:rsidR="00111B88">
        <w:rPr>
          <w:rFonts w:cs="Arial"/>
          <w:sz w:val="16"/>
          <w:szCs w:val="16"/>
          <w:u w:val="single"/>
        </w:rPr>
        <w:t xml:space="preserve"> </w:t>
      </w:r>
      <w:r w:rsidR="0052361A" w:rsidRPr="00111B88">
        <w:rPr>
          <w:rFonts w:cs="Arial"/>
          <w:sz w:val="16"/>
          <w:szCs w:val="16"/>
          <w:u w:val="single"/>
        </w:rPr>
        <w:t>1</w:t>
      </w:r>
      <w:r w:rsidR="0052361A" w:rsidRPr="00111B88">
        <w:rPr>
          <w:rFonts w:cs="Arial"/>
          <w:sz w:val="16"/>
          <w:szCs w:val="16"/>
        </w:rPr>
        <w:t xml:space="preserve"> of the Agreement</w:t>
      </w:r>
      <w:r w:rsidRPr="00111B88">
        <w:rPr>
          <w:rFonts w:cs="Arial"/>
          <w:sz w:val="16"/>
          <w:szCs w:val="16"/>
        </w:rPr>
        <w:t>.1</w:t>
      </w:r>
      <w:r w:rsidRPr="0072034D">
        <w:rPr>
          <w:rFonts w:cs="Arial"/>
          <w:sz w:val="16"/>
          <w:szCs w:val="16"/>
        </w:rPr>
        <w:t>.</w:t>
      </w:r>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xml:space="preserve">" means a Carrier that provides </w:t>
      </w:r>
      <w:proofErr w:type="spellStart"/>
      <w:r>
        <w:rPr>
          <w:rFonts w:cs="Arial"/>
          <w:sz w:val="16"/>
          <w:szCs w:val="16"/>
        </w:rPr>
        <w:t>InterLATA</w:t>
      </w:r>
      <w:proofErr w:type="spellEnd"/>
      <w:r>
        <w:rPr>
          <w:rFonts w:cs="Arial"/>
          <w:sz w:val="16"/>
          <w:szCs w:val="16"/>
        </w:rPr>
        <w:t xml:space="preserve"> or </w:t>
      </w:r>
      <w:proofErr w:type="spellStart"/>
      <w:r>
        <w:rPr>
          <w:rFonts w:cs="Arial"/>
          <w:sz w:val="16"/>
          <w:szCs w:val="16"/>
        </w:rPr>
        <w:t>IntraLATA</w:t>
      </w:r>
      <w:proofErr w:type="spellEnd"/>
      <w:r>
        <w:rPr>
          <w:rFonts w:cs="Arial"/>
          <w:sz w:val="16"/>
          <w:szCs w:val="16"/>
        </w:rPr>
        <w:t xml:space="preserve"> Toll services.</w:t>
      </w:r>
    </w:p>
    <w:p w14:paraId="0632DF99" w14:textId="77777777"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Telcordia’s GR-446-CORE defines the interface between the administration system and LIDB including specific message formats (Telcordia’s TR-NWP-000029, Section 10).</w:t>
      </w:r>
    </w:p>
    <w:p w14:paraId="68B89BF7" w14:textId="77777777" w:rsidR="00673EE5" w:rsidRDefault="00673EE5" w:rsidP="003F43A3">
      <w:pPr>
        <w:pStyle w:val="Indent1Char"/>
        <w:spacing w:after="120"/>
        <w:rPr>
          <w:rFonts w:cs="Arial"/>
          <w:sz w:val="16"/>
          <w:szCs w:val="16"/>
        </w:rPr>
      </w:pPr>
      <w:bookmarkStart w:id="196" w:name="z14y100_ABCDEFGHIJKLMN12"/>
      <w:bookmarkEnd w:id="196"/>
      <w:r>
        <w:rPr>
          <w:rFonts w:cs="Arial"/>
          <w:sz w:val="16"/>
          <w:szCs w:val="16"/>
        </w:rPr>
        <w:t>"</w:t>
      </w:r>
      <w:r w:rsidRPr="009833C8">
        <w:rPr>
          <w:rFonts w:cs="Arial"/>
          <w:sz w:val="16"/>
          <w:szCs w:val="16"/>
          <w:u w:val="single"/>
        </w:rPr>
        <w:t>Line Side</w:t>
      </w:r>
      <w:r>
        <w:rPr>
          <w:rFonts w:cs="Arial"/>
          <w:sz w:val="16"/>
          <w:szCs w:val="16"/>
        </w:rPr>
        <w:t>" refers to End Office Switch connections that have been programmed to treat the circuit as a local line connected to a terminating station (e.g., an End User Customer's telephone station set, a PBX, answering machine, facsimile machine, computer, or similar customer device).</w:t>
      </w:r>
    </w:p>
    <w:p w14:paraId="0D443317"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Local Exchange Carrier</w:t>
      </w:r>
      <w:r>
        <w:rPr>
          <w:rFonts w:cs="Arial"/>
          <w:sz w:val="16"/>
          <w:szCs w:val="16"/>
        </w:rPr>
        <w:t>" or "</w:t>
      </w:r>
      <w:r>
        <w:rPr>
          <w:rFonts w:cs="Arial"/>
          <w:sz w:val="16"/>
          <w:szCs w:val="16"/>
          <w:u w:val="single"/>
        </w:rPr>
        <w:t>LEC</w:t>
      </w:r>
      <w:r>
        <w:rPr>
          <w:rFonts w:cs="Arial"/>
          <w:sz w:val="16"/>
          <w:szCs w:val="16"/>
        </w:rPr>
        <w:t xml:space="preserve">" means any Carrier that is engaged in the provision of Telephone Exchange Service or Exchange Access.  Such term does not include a Carrier insofar as such Carrier is engaged in the provision of Commercial Mobile Radio Service under Section 332(c) of the Act, except to the extent that the FCC finds that such service should be included in the definition of such term. </w:t>
      </w:r>
    </w:p>
    <w:p w14:paraId="0C68C377" w14:textId="77777777" w:rsidR="00673EE5" w:rsidRDefault="00673EE5" w:rsidP="003F43A3">
      <w:pPr>
        <w:pStyle w:val="Indent1Char"/>
        <w:spacing w:after="120"/>
        <w:rPr>
          <w:rFonts w:cs="Arial"/>
          <w:sz w:val="16"/>
          <w:szCs w:val="16"/>
        </w:rPr>
      </w:pPr>
      <w:bookmarkStart w:id="197" w:name="z14y127_ABCDEFGHIJKLMN12"/>
      <w:bookmarkStart w:id="198" w:name="z14y128_ABCDEFGHIJKLMN12"/>
      <w:bookmarkStart w:id="199" w:name="z14y129_ABCDEFGHIJKLMN12"/>
      <w:bookmarkStart w:id="200" w:name="z14y130_ABCDEFGHIJKLMN12"/>
      <w:bookmarkStart w:id="201" w:name="z14y131_ABCDEFGHIJKLMN12"/>
      <w:bookmarkStart w:id="202" w:name="z1dy1_ABCDEFGHIJKLMN12"/>
      <w:bookmarkStart w:id="203" w:name="z14y132_ABCDEFGHIJKLMN12"/>
      <w:bookmarkStart w:id="204" w:name="z14y133_ABCDEFGHIJKLMN12"/>
      <w:bookmarkStart w:id="205" w:name="z14y134_ABCDEFGHIJKLMN12"/>
      <w:bookmarkStart w:id="206" w:name="z14y135_ABCDEFGHIJKLMN12"/>
      <w:bookmarkStart w:id="207" w:name="z14y2_ABCDEFGHIJKLMN12"/>
      <w:bookmarkStart w:id="208" w:name="z14y3_ABCDEFGHIJKLMN12"/>
      <w:bookmarkEnd w:id="197"/>
      <w:bookmarkEnd w:id="198"/>
      <w:bookmarkEnd w:id="199"/>
      <w:bookmarkEnd w:id="200"/>
      <w:bookmarkEnd w:id="201"/>
      <w:bookmarkEnd w:id="202"/>
      <w:bookmarkEnd w:id="203"/>
      <w:bookmarkEnd w:id="204"/>
      <w:bookmarkEnd w:id="205"/>
      <w:bookmarkEnd w:id="206"/>
      <w:bookmarkEnd w:id="207"/>
      <w:bookmarkEnd w:id="208"/>
      <w:r>
        <w:rPr>
          <w:rFonts w:cs="Arial"/>
          <w:sz w:val="16"/>
          <w:szCs w:val="16"/>
        </w:rPr>
        <w:t>"</w:t>
      </w:r>
      <w:r w:rsidRPr="009833C8">
        <w:rPr>
          <w:rFonts w:cs="Arial"/>
          <w:sz w:val="16"/>
          <w:szCs w:val="16"/>
          <w:u w:val="single"/>
        </w:rPr>
        <w:t>Local Service Request</w:t>
      </w:r>
      <w:r>
        <w:rPr>
          <w:rFonts w:cs="Arial"/>
          <w:sz w:val="16"/>
          <w:szCs w:val="16"/>
        </w:rPr>
        <w:t>" or "</w:t>
      </w:r>
      <w:r w:rsidRPr="009833C8">
        <w:rPr>
          <w:rFonts w:cs="Arial"/>
          <w:sz w:val="16"/>
          <w:szCs w:val="16"/>
          <w:u w:val="single"/>
        </w:rPr>
        <w:t>LSR</w:t>
      </w:r>
      <w:r>
        <w:rPr>
          <w:rFonts w:cs="Arial"/>
          <w:sz w:val="16"/>
          <w:szCs w:val="16"/>
        </w:rPr>
        <w:t>" means the industry standard forms and supporting documentation used for ordering local services.</w:t>
      </w:r>
    </w:p>
    <w:p w14:paraId="2A1F51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is defined as a transmission facility between a distribution frame (or its equivalent) in a CenturyLink Central Office and the Loop Demarcation Point at an End User Customer's Premises</w:t>
      </w:r>
    </w:p>
    <w:p w14:paraId="0E996C19" w14:textId="7521DE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mean charges that CenturyLink may assess in addition to recurring and nonrecurring rates set forth in the Rate Sheet, for activities CLEC requests CenturyLink to perform, activities CLEC authorizes, or charges that are a result of CLEC's actions, such as cancellation charges, additional labor and maintenance.  Miscellaneous Charges are not already included in CenturyLink's recurring or nonrecurring rates.  Miscellaneous Charges shall be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mean pre-ordering, Provisioning, maintenance, repair and billing systems.</w:t>
      </w:r>
    </w:p>
    <w:p w14:paraId="2F994FF1" w14:textId="3131D09B" w:rsidR="00673EE5" w:rsidRDefault="00673EE5" w:rsidP="003F43A3">
      <w:pPr>
        <w:spacing w:after="120"/>
        <w:jc w:val="both"/>
        <w:rPr>
          <w:rFonts w:ascii="Arial" w:hAnsi="Arial" w:cs="Arial"/>
          <w:snapToGrid w:val="0"/>
          <w:sz w:val="16"/>
          <w:szCs w:val="16"/>
        </w:rPr>
      </w:pPr>
      <w:bookmarkStart w:id="209" w:name="z14y137_ABCDEFGHIJKLMN12"/>
      <w:bookmarkStart w:id="210" w:name="z14y138_ABCDEFGHIJKLMN12"/>
      <w:bookmarkStart w:id="211" w:name="z14y139_ABCDEFGHIJKLMN12"/>
      <w:bookmarkEnd w:id="209"/>
      <w:bookmarkEnd w:id="210"/>
      <w:bookmarkEnd w:id="211"/>
      <w:r>
        <w:rPr>
          <w:rFonts w:ascii="Arial" w:hAnsi="Arial" w:cs="Arial"/>
          <w:snapToGrid w:val="0"/>
          <w:sz w:val="16"/>
          <w:szCs w:val="16"/>
        </w:rPr>
        <w:t>“</w:t>
      </w:r>
      <w:r w:rsidRPr="009833C8">
        <w:rPr>
          <w:rFonts w:ascii="Arial" w:hAnsi="Arial" w:cs="Arial"/>
          <w:snapToGrid w:val="0"/>
          <w:sz w:val="16"/>
          <w:szCs w:val="16"/>
          <w:u w:val="single"/>
        </w:rPr>
        <w:t>Order Form</w:t>
      </w:r>
      <w:r>
        <w:rPr>
          <w:rFonts w:ascii="Arial" w:hAnsi="Arial" w:cs="Arial"/>
          <w:snapToGrid w:val="0"/>
          <w:sz w:val="16"/>
          <w:szCs w:val="16"/>
        </w:rPr>
        <w:t xml:space="preserve">” </w:t>
      </w:r>
      <w:r>
        <w:rPr>
          <w:rFonts w:ascii="Arial" w:hAnsi="Arial" w:cs="Arial"/>
          <w:sz w:val="16"/>
          <w:szCs w:val="16"/>
        </w:rPr>
        <w:t>means service order request forms issued by CenturyLink, as amended from time to time</w:t>
      </w:r>
      <w:r w:rsidR="00022D4A">
        <w:rPr>
          <w:rFonts w:ascii="Arial" w:hAnsi="Arial" w:cs="Arial"/>
          <w:sz w:val="16"/>
          <w:szCs w:val="16"/>
        </w:rPr>
        <w:t xml:space="preserve"> and discussed in the attached Product Catalog below</w:t>
      </w:r>
      <w:r>
        <w:rPr>
          <w:rFonts w:ascii="Arial" w:hAnsi="Arial" w:cs="Arial"/>
          <w:sz w:val="16"/>
          <w:szCs w:val="16"/>
        </w:rPr>
        <w:t>.</w:t>
      </w:r>
    </w:p>
    <w:p w14:paraId="279CA7B2" w14:textId="23BA1B2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Payment Due Date</w:t>
      </w:r>
      <w:r>
        <w:rPr>
          <w:rFonts w:cs="Arial"/>
          <w:sz w:val="16"/>
          <w:szCs w:val="16"/>
        </w:rPr>
        <w:t xml:space="preserve">” shall </w:t>
      </w:r>
      <w:r w:rsidRPr="00D36CB0">
        <w:rPr>
          <w:rFonts w:cs="Arial"/>
          <w:sz w:val="16"/>
          <w:szCs w:val="16"/>
        </w:rPr>
        <w:t xml:space="preserve">have the meaning set forth in </w:t>
      </w:r>
      <w:r w:rsidRPr="00D36CB0">
        <w:rPr>
          <w:rFonts w:cs="Arial"/>
          <w:sz w:val="16"/>
          <w:szCs w:val="16"/>
          <w:u w:val="single"/>
        </w:rPr>
        <w:t xml:space="preserve">Section </w:t>
      </w:r>
      <w:r w:rsidR="0052361A">
        <w:rPr>
          <w:rFonts w:cs="Arial"/>
          <w:sz w:val="16"/>
          <w:szCs w:val="16"/>
          <w:u w:val="single"/>
        </w:rPr>
        <w:t>4.2</w:t>
      </w:r>
      <w:r w:rsidR="0052361A" w:rsidRPr="00111B88">
        <w:rPr>
          <w:rFonts w:cs="Arial"/>
          <w:sz w:val="16"/>
          <w:szCs w:val="16"/>
        </w:rPr>
        <w:t xml:space="preserve"> of the Agreement</w:t>
      </w:r>
      <w:r w:rsidRPr="00D36CB0">
        <w:rPr>
          <w:rFonts w:cs="Arial"/>
          <w:sz w:val="16"/>
          <w:szCs w:val="16"/>
        </w:rPr>
        <w:t>.</w:t>
      </w:r>
    </w:p>
    <w:p w14:paraId="3FDA14A8" w14:textId="77777777" w:rsidR="00533EED" w:rsidRDefault="003B7B40" w:rsidP="003F43A3">
      <w:pPr>
        <w:pStyle w:val="Indent1Char"/>
        <w:spacing w:after="12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14:paraId="7B4490A0" w14:textId="77777777" w:rsidR="003D17E9" w:rsidRDefault="003D17E9" w:rsidP="003F43A3">
      <w:pPr>
        <w:pStyle w:val="Indent1Char"/>
        <w:spacing w:after="120"/>
        <w:rPr>
          <w:rFonts w:cs="Arial"/>
          <w:sz w:val="16"/>
          <w:szCs w:val="16"/>
        </w:rPr>
      </w:pPr>
      <w:bookmarkStart w:id="212" w:name="z14y140_ABCDEFGHIJKLMN12"/>
      <w:bookmarkStart w:id="213" w:name="z14y141_ABCDEFGHIJKLMN12"/>
      <w:bookmarkStart w:id="214" w:name="z14y57_ABCDEFGHIJKLMN12"/>
      <w:bookmarkStart w:id="215" w:name="z14y56_ABCDEFGHIJKLMN12"/>
      <w:bookmarkStart w:id="216" w:name="z14yo_ABCDEFGHIJKLMN12"/>
      <w:bookmarkStart w:id="217" w:name="z14y142_ABCDEFGHIJKLMN12"/>
      <w:bookmarkStart w:id="218" w:name="z14y143_ABCDEFGHIJKLMN12"/>
      <w:bookmarkStart w:id="219" w:name="z14y144_ABCDEFGHIJKLMN12"/>
      <w:bookmarkStart w:id="220" w:name="z14y146_ABCDEFGHIJKLMN12"/>
      <w:bookmarkStart w:id="221" w:name="z14y147_ABCDEFGHIJKLMN12"/>
      <w:bookmarkStart w:id="222" w:name="z14y148_ABCDEFGHIJKLMN12"/>
      <w:bookmarkStart w:id="223" w:name="z14y149_ABCDEFGHIJKLMN12"/>
      <w:bookmarkStart w:id="224" w:name="z14y150_ABCDEFGHIJKLMN12"/>
      <w:bookmarkStart w:id="225" w:name="z14y151_ABCDEFGHIJKLMN12"/>
      <w:bookmarkStart w:id="226" w:name="z02y4_ABCDEGHIJKLMN2"/>
      <w:bookmarkStart w:id="227" w:name="z14y153_ABCDEGHIJKLMN1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C574554" w14:textId="5094E5E6" w:rsidR="00673EE5" w:rsidRDefault="00673EE5" w:rsidP="003F43A3">
      <w:pPr>
        <w:pStyle w:val="Indent1Char"/>
        <w:spacing w:after="120"/>
        <w:rPr>
          <w:rFonts w:cs="Arial"/>
          <w:sz w:val="16"/>
          <w:szCs w:val="16"/>
        </w:rPr>
      </w:pPr>
      <w:r>
        <w:rPr>
          <w:rFonts w:cs="Arial"/>
          <w:sz w:val="16"/>
          <w:szCs w:val="16"/>
        </w:rPr>
        <w:lastRenderedPageBreak/>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6FAB5D0D" w14:textId="11AF2D7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 xml:space="preserve">Section </w:t>
      </w:r>
      <w:r w:rsidR="004373BB">
        <w:rPr>
          <w:rFonts w:cs="Arial"/>
          <w:sz w:val="16"/>
          <w:szCs w:val="16"/>
          <w:u w:val="single"/>
        </w:rPr>
        <w:t>2.1</w:t>
      </w:r>
      <w:r>
        <w:rPr>
          <w:rFonts w:cs="Arial"/>
          <w:sz w:val="16"/>
          <w:szCs w:val="16"/>
        </w:rPr>
        <w:t xml:space="preserve"> of th</w:t>
      </w:r>
      <w:r w:rsidR="0052361A">
        <w:rPr>
          <w:rFonts w:cs="Arial"/>
          <w:sz w:val="16"/>
          <w:szCs w:val="16"/>
        </w:rPr>
        <w:t>e</w:t>
      </w:r>
      <w:r>
        <w:rPr>
          <w:rFonts w:cs="Arial"/>
          <w:sz w:val="16"/>
          <w:szCs w:val="16"/>
        </w:rPr>
        <w:t xml:space="preserve"> Agreement.</w:t>
      </w:r>
      <w:bookmarkStart w:id="228" w:name="z02y4_F2"/>
      <w:bookmarkStart w:id="229" w:name="z14y154_ABCDEFGHIJKLMN12"/>
      <w:bookmarkStart w:id="230" w:name="z14y155_ABCDEFGHIJKLMN12"/>
      <w:bookmarkEnd w:id="228"/>
      <w:bookmarkEnd w:id="229"/>
      <w:bookmarkEnd w:id="230"/>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31" w:name="z14y156_ABCDEFGHIJKLMN12"/>
      <w:bookmarkStart w:id="232" w:name="z14y157_ABCDEFGHIJKLMN12"/>
      <w:bookmarkStart w:id="233" w:name="z14yp_ABCDEFGHIJKLMN12"/>
      <w:bookmarkStart w:id="234" w:name="z14y163_ABCDEFGHIJKLMN12"/>
      <w:bookmarkStart w:id="235" w:name="z14y159_ABCDEFGHIJKLMN12"/>
      <w:bookmarkStart w:id="236" w:name="z14y160_ABCDEFGHIJKLMN12"/>
      <w:bookmarkStart w:id="237" w:name="z02y4_CJ2"/>
      <w:bookmarkStart w:id="238" w:name="z14y166_ABCDEFGHIJKLMN12"/>
      <w:bookmarkStart w:id="239" w:name="z14yr_ABCDEFGHIJKLMN12"/>
      <w:bookmarkStart w:id="240" w:name="z14y6_ABCDEFGHIJKLMN12"/>
      <w:bookmarkStart w:id="241" w:name="z17y5_ABCDEFGHIJKLMN12"/>
      <w:bookmarkStart w:id="242" w:name="z14y181_ABCDEFGHIJKLMN12"/>
      <w:bookmarkStart w:id="243" w:name="z14y182_ABCDEFGHIJKLMN12"/>
      <w:bookmarkStart w:id="244" w:name="z14y191_ABCDEFGHIJKLMN12"/>
      <w:bookmarkStart w:id="245" w:name="z14y192_ABCDEFGHIJKLMN1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64AE3352" w14:textId="1CABC1CC" w:rsidR="00111038" w:rsidRDefault="00673EE5" w:rsidP="003F43A3">
      <w:pPr>
        <w:pStyle w:val="Indent1Char"/>
        <w:spacing w:after="120"/>
        <w:rPr>
          <w:rFonts w:cs="Arial"/>
          <w:sz w:val="16"/>
          <w:szCs w:val="16"/>
        </w:rPr>
      </w:pPr>
      <w:r w:rsidRPr="00730C81">
        <w:rPr>
          <w:rFonts w:cs="Arial"/>
          <w:sz w:val="16"/>
          <w:szCs w:val="16"/>
        </w:rPr>
        <w:t>"</w:t>
      </w:r>
      <w:r w:rsidRPr="003F43A3">
        <w:rPr>
          <w:rFonts w:cs="Arial"/>
          <w:sz w:val="16"/>
          <w:szCs w:val="16"/>
          <w:u w:val="single"/>
        </w:rPr>
        <w:t>Switched Access Traffic</w:t>
      </w:r>
      <w:r w:rsidRPr="00730C81">
        <w:rPr>
          <w:rFonts w:cs="Arial"/>
          <w:sz w:val="16"/>
          <w:szCs w:val="16"/>
        </w:rPr>
        <w:t xml:space="preserve">," as specifically defined in </w:t>
      </w:r>
      <w:r>
        <w:rPr>
          <w:rFonts w:cs="Arial"/>
          <w:sz w:val="16"/>
          <w:szCs w:val="16"/>
        </w:rPr>
        <w:t>CenturyLink</w:t>
      </w:r>
      <w:r w:rsidRPr="00730C81">
        <w:rPr>
          <w:rFonts w:cs="Arial"/>
          <w:sz w:val="16"/>
          <w:szCs w:val="16"/>
        </w:rPr>
        <w:t>'s interstate Switched Access Tariffs, is traffic that originates at one of the Party's End User Customers and</w:t>
      </w:r>
      <w:r>
        <w:rPr>
          <w:rFonts w:cs="Arial"/>
          <w:sz w:val="16"/>
          <w:szCs w:val="16"/>
        </w:rPr>
        <w:t xml:space="preserve"> terminates at an IXC Point of Presence, or originates </w:t>
      </w:r>
      <w:r w:rsidR="00111038">
        <w:rPr>
          <w:rFonts w:cs="Arial"/>
          <w:sz w:val="16"/>
          <w:szCs w:val="16"/>
        </w:rPr>
        <w:t>at an IXC Point of Presence and terminates at one of the Party's End User Customers, whether or not the traffic transits the other Party's network.</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14:paraId="267C665A" w14:textId="3B037BCC" w:rsidR="00533EED" w:rsidRDefault="003B7B40" w:rsidP="003F43A3">
      <w:pPr>
        <w:spacing w:after="12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sidRPr="00B6757A">
        <w:rPr>
          <w:rFonts w:ascii="Arial" w:hAnsi="Arial" w:cs="Arial"/>
          <w:sz w:val="16"/>
          <w:szCs w:val="16"/>
          <w:u w:val="single"/>
        </w:rPr>
        <w:t xml:space="preserve">Section </w:t>
      </w:r>
      <w:r w:rsidR="00423B53" w:rsidRPr="00423B53">
        <w:rPr>
          <w:rFonts w:ascii="Arial" w:hAnsi="Arial" w:cs="Arial"/>
          <w:sz w:val="16"/>
          <w:szCs w:val="16"/>
          <w:u w:val="single"/>
        </w:rPr>
        <w:t>4.</w:t>
      </w:r>
      <w:r w:rsidR="00423B53" w:rsidRPr="00111B88">
        <w:rPr>
          <w:rFonts w:ascii="Arial" w:hAnsi="Arial" w:cs="Arial"/>
          <w:sz w:val="16"/>
          <w:szCs w:val="16"/>
          <w:u w:val="single"/>
        </w:rPr>
        <w:t>6</w:t>
      </w:r>
      <w:r w:rsidR="00423B53" w:rsidRPr="00111B88">
        <w:rPr>
          <w:rFonts w:ascii="Arial" w:hAnsi="Arial" w:cs="Arial"/>
          <w:sz w:val="16"/>
          <w:szCs w:val="16"/>
        </w:rPr>
        <w:t xml:space="preserve"> of the Agreement</w:t>
      </w:r>
      <w:r w:rsidRPr="00423B53">
        <w:rPr>
          <w:rFonts w:ascii="Arial" w:hAnsi="Arial" w:cs="Arial"/>
          <w:sz w:val="16"/>
          <w:szCs w:val="16"/>
        </w:rPr>
        <w:t>.</w:t>
      </w:r>
    </w:p>
    <w:p w14:paraId="0D6F42BF"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006047C6"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Telephone Exchange Service</w:t>
      </w:r>
      <w:r>
        <w:rPr>
          <w:rFonts w:cs="Arial"/>
          <w:sz w:val="16"/>
          <w:szCs w:val="16"/>
        </w:rPr>
        <w:t>" means a Service within a telephone exchange, or within a connected system of telephone exchanges within the same exchange area operated to furnish to End User Customers intercommunicating Service of the character ordinarily furnished by a single exchange, and which is covered by the exchange Service charge, or comparable Service provided through a system of Switches, transmission equipment or other facilities (or combinations thereof) by which a subscriber can originate and terminate a Telecommunications Service.</w:t>
      </w:r>
    </w:p>
    <w:p w14:paraId="08AE14C1" w14:textId="1FAC72BF"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 xml:space="preserve">Section </w:t>
      </w:r>
      <w:r w:rsidRPr="00111B88">
        <w:rPr>
          <w:rFonts w:cs="Arial"/>
          <w:sz w:val="16"/>
          <w:szCs w:val="16"/>
          <w:u w:val="single"/>
        </w:rPr>
        <w:t>1</w:t>
      </w:r>
      <w:r w:rsidR="00423B53" w:rsidRPr="00111B88">
        <w:rPr>
          <w:rFonts w:cs="Arial"/>
          <w:sz w:val="16"/>
          <w:szCs w:val="16"/>
        </w:rPr>
        <w:t xml:space="preserve"> of the Agreement</w:t>
      </w:r>
      <w:r>
        <w:rPr>
          <w:rFonts w:cs="Arial"/>
          <w:sz w:val="16"/>
          <w:szCs w:val="16"/>
        </w:rPr>
        <w:t>.</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provision of basic exchange Telecommunications Services and access Services, are located.</w:t>
      </w:r>
    </w:p>
    <w:p w14:paraId="2F6E503A" w14:textId="77777777"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46" w:name="TOC-Gigabyte-Passive-Optical-Networks-GP"/>
      <w:bookmarkEnd w:id="246"/>
      <w:r w:rsidR="003B7B40">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type w:val="continuous"/>
          <w:pgSz w:w="12240" w:h="15840" w:code="1"/>
          <w:pgMar w:top="432" w:right="432" w:bottom="432" w:left="432" w:header="720" w:footer="720" w:gutter="0"/>
          <w:cols w:num="2" w:space="720"/>
        </w:sectPr>
      </w:pPr>
    </w:p>
    <w:p w14:paraId="03960989" w14:textId="77777777" w:rsidR="00673EE5" w:rsidRDefault="00673EE5">
      <w:pPr>
        <w:rPr>
          <w:rFonts w:ascii="Arial" w:hAnsi="Arial"/>
          <w:b/>
          <w:sz w:val="16"/>
        </w:rPr>
      </w:pPr>
      <w:bookmarkStart w:id="247" w:name="z19y23y5y4_ABCDEFGHIJKLMN12"/>
      <w:bookmarkStart w:id="248" w:name="z19y23y5y5_ABCDEFGHIJKLMN12"/>
      <w:bookmarkEnd w:id="247"/>
      <w:bookmarkEnd w:id="248"/>
      <w:r>
        <w:rPr>
          <w:rFonts w:ascii="Arial" w:hAnsi="Arial"/>
          <w:b/>
          <w:sz w:val="16"/>
        </w:rPr>
        <w:br w:type="page"/>
      </w:r>
    </w:p>
    <w:bookmarkEnd w:id="16"/>
    <w:p w14:paraId="4AE3434E" w14:textId="71587208" w:rsidR="00533EED" w:rsidRDefault="003D0611">
      <w:pPr>
        <w:jc w:val="center"/>
        <w:rPr>
          <w:rFonts w:ascii="Arial" w:hAnsi="Arial"/>
          <w:b/>
          <w:sz w:val="18"/>
          <w:szCs w:val="18"/>
        </w:rPr>
      </w:pPr>
      <w:r w:rsidRPr="003D0611">
        <w:rPr>
          <w:rFonts w:ascii="Arial" w:hAnsi="Arial"/>
          <w:b/>
          <w:sz w:val="18"/>
          <w:szCs w:val="18"/>
        </w:rPr>
        <w:lastRenderedPageBreak/>
        <w:t>ATTACHMENT 2</w:t>
      </w:r>
    </w:p>
    <w:p w14:paraId="691B891A" w14:textId="77777777" w:rsidR="003D0611" w:rsidRPr="003D0611" w:rsidRDefault="003D0611" w:rsidP="00600DBC">
      <w:pPr>
        <w:spacing w:after="120"/>
        <w:jc w:val="center"/>
        <w:rPr>
          <w:rFonts w:ascii="Arial" w:hAnsi="Arial"/>
          <w:b/>
          <w:sz w:val="18"/>
          <w:szCs w:val="18"/>
        </w:rPr>
      </w:pPr>
    </w:p>
    <w:p w14:paraId="0B99F5C9" w14:textId="2D0E2C59" w:rsidR="004C72A1" w:rsidRPr="003D0611" w:rsidRDefault="004C72A1" w:rsidP="00600DBC">
      <w:pPr>
        <w:pStyle w:val="Heading2"/>
        <w:keepNext/>
        <w:numPr>
          <w:ilvl w:val="0"/>
          <w:numId w:val="23"/>
        </w:numPr>
        <w:tabs>
          <w:tab w:val="clear" w:pos="720"/>
        </w:tabs>
        <w:spacing w:after="120"/>
        <w:jc w:val="both"/>
        <w:rPr>
          <w:rFonts w:cs="Arial"/>
          <w:b w:val="0"/>
          <w:smallCaps w:val="0"/>
        </w:rPr>
      </w:pPr>
      <w:r w:rsidRPr="003D0611">
        <w:rPr>
          <w:rFonts w:cs="Arial"/>
          <w:b w:val="0"/>
          <w:smallCaps w:val="0"/>
          <w:szCs w:val="16"/>
        </w:rPr>
        <w:t>CenturyLink will provide WHOLESALE LOCAL VOICE (“</w:t>
      </w:r>
      <w:r w:rsidR="00D106E3" w:rsidRPr="003D0611">
        <w:rPr>
          <w:rFonts w:cs="Arial"/>
          <w:b w:val="0"/>
          <w:smallCaps w:val="0"/>
          <w:szCs w:val="16"/>
        </w:rPr>
        <w:t>WLV</w:t>
      </w:r>
      <w:r w:rsidRPr="003D0611">
        <w:rPr>
          <w:rFonts w:cs="Arial"/>
          <w:b w:val="0"/>
          <w:smallCaps w:val="0"/>
          <w:szCs w:val="16"/>
        </w:rPr>
        <w:t xml:space="preserve">”) Services according to the terms and conditions set forth in the </w:t>
      </w:r>
      <w:r w:rsidR="00450EC2">
        <w:rPr>
          <w:rFonts w:cs="Arial"/>
          <w:b w:val="0"/>
          <w:smallCaps w:val="0"/>
          <w:szCs w:val="16"/>
        </w:rPr>
        <w:t>Forbearance Master Service</w:t>
      </w:r>
      <w:r w:rsidRPr="003D0611">
        <w:rPr>
          <w:rFonts w:cs="Arial"/>
          <w:b w:val="0"/>
          <w:smallCaps w:val="0"/>
        </w:rPr>
        <w:t xml:space="preserve"> Agreement between the Parties (the “Agreement”) and in this Attachment 2 to the Agreement, which is incorporated into and made a part of the Agreement (this “Attachment”).  Except as otherwise set forth in this Attachment, capitalized terms used but not otherwise defined herein have the definitions assigned to them in the Agreement.  CUSTOMER may use </w:t>
      </w:r>
      <w:r w:rsidR="00D106E3" w:rsidRPr="003D0611">
        <w:rPr>
          <w:rFonts w:cs="Arial"/>
          <w:b w:val="0"/>
          <w:smallCaps w:val="0"/>
        </w:rPr>
        <w:t>WLV</w:t>
      </w:r>
      <w:r w:rsidRPr="003D0611">
        <w:rPr>
          <w:rFonts w:cs="Arial"/>
          <w:b w:val="0"/>
          <w:smallCaps w:val="0"/>
        </w:rPr>
        <w:t xml:space="preserve"> Services to provide any Telecommunications Services, information services (or both) that CUSTOMER chooses to offer to the extent that such services are granted herein or not limited hereby.</w:t>
      </w:r>
    </w:p>
    <w:p w14:paraId="2C76C975" w14:textId="69E45AF7" w:rsidR="004C72A1" w:rsidRDefault="004C72A1" w:rsidP="00600DBC">
      <w:pPr>
        <w:pStyle w:val="Heading3"/>
        <w:spacing w:after="120"/>
      </w:pPr>
      <w:bookmarkStart w:id="249" w:name="z19y11y1_ABCDEFGHIJKLMN12"/>
      <w:bookmarkEnd w:id="249"/>
      <w:r>
        <w:rPr>
          <w:b w:val="0"/>
        </w:rPr>
        <w:t>1.1</w:t>
      </w:r>
      <w:r>
        <w:tab/>
        <w:t xml:space="preserve">General </w:t>
      </w:r>
      <w:r w:rsidR="00D106E3">
        <w:t>WLV</w:t>
      </w:r>
      <w:r>
        <w:t xml:space="preserve"> Service Description.</w:t>
      </w:r>
    </w:p>
    <w:p w14:paraId="641B5223" w14:textId="72B80060" w:rsidR="004C72A1" w:rsidRDefault="004C72A1" w:rsidP="00600DBC">
      <w:pPr>
        <w:pStyle w:val="Indent3"/>
        <w:tabs>
          <w:tab w:val="clear" w:pos="3067"/>
        </w:tabs>
        <w:spacing w:after="120"/>
        <w:ind w:left="720"/>
        <w:rPr>
          <w:sz w:val="16"/>
        </w:rPr>
      </w:pPr>
      <w:bookmarkStart w:id="250" w:name="z19y11y1y1_ABCDEFGHIJKLMN12"/>
      <w:bookmarkEnd w:id="250"/>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Advanced Intelligent Network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 and other industry standards and technical and performance specifications to allow CUSTOMER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CUSTOMER’s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Pr>
          <w:sz w:val="16"/>
        </w:rPr>
        <w:t>CUSTOMER</w:t>
      </w:r>
      <w:r w:rsidRPr="008C7D59">
        <w:rPr>
          <w:sz w:val="16"/>
        </w:rPr>
        <w:t xml:space="preserve"> under this Agreement whether </w:t>
      </w:r>
      <w:r>
        <w:rPr>
          <w:sz w:val="16"/>
        </w:rPr>
        <w:t>CUSTOMER</w:t>
      </w:r>
      <w:r w:rsidRPr="008C7D59">
        <w:rPr>
          <w:sz w:val="16"/>
        </w:rPr>
        <w:t>'s end user is a residential end user or a business end user</w:t>
      </w:r>
      <w:r>
        <w:rPr>
          <w:sz w:val="16"/>
        </w:rPr>
        <w:t xml:space="preserve">.  </w:t>
      </w:r>
      <w:bookmarkStart w:id="251"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CUSTOMER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51"/>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w:t>
      </w:r>
      <w:proofErr w:type="spellStart"/>
      <w:r>
        <w:rPr>
          <w:sz w:val="16"/>
        </w:rPr>
        <w:t>Centron</w:t>
      </w:r>
      <w:proofErr w:type="spellEnd"/>
      <w:r>
        <w:rPr>
          <w:sz w:val="16"/>
        </w:rPr>
        <w:t xml:space="preserve">);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1AC52668" w:rsidR="004C72A1" w:rsidRDefault="004C72A1" w:rsidP="00600DBC">
      <w:pPr>
        <w:tabs>
          <w:tab w:val="left" w:pos="1440"/>
        </w:tabs>
        <w:spacing w:after="120"/>
        <w:ind w:left="720"/>
        <w:jc w:val="both"/>
        <w:rPr>
          <w:rFonts w:ascii="Arial" w:hAnsi="Arial" w:cs="Arial"/>
          <w:sz w:val="16"/>
          <w:szCs w:val="16"/>
        </w:rPr>
      </w:pPr>
      <w:r>
        <w:rPr>
          <w:rFonts w:ascii="Arial" w:hAnsi="Arial" w:cs="Arial"/>
          <w:sz w:val="16"/>
        </w:rPr>
        <w:t>1.1.3</w:t>
      </w:r>
      <w:r>
        <w:rPr>
          <w:rFonts w:ascii="Arial" w:hAnsi="Arial" w:cs="Arial"/>
          <w:sz w:val="16"/>
        </w:rPr>
        <w:tab/>
      </w:r>
      <w:r>
        <w:rPr>
          <w:rFonts w:ascii="Arial" w:hAnsi="Arial" w:cs="Arial"/>
          <w:sz w:val="16"/>
          <w:szCs w:val="16"/>
        </w:rPr>
        <w:t xml:space="preserve">Nothing in this Attachment or the Agreement precludes CenturyLink from withdrawing availability of comparable, functionally equivalent services from its retail end user customers.  In the event of such withdrawal or discontinuation, CenturyLink may also withdraw availability of the equivalent </w:t>
      </w:r>
      <w:r w:rsidR="00D106E3">
        <w:rPr>
          <w:rFonts w:ascii="Arial" w:hAnsi="Arial" w:cs="Arial"/>
          <w:sz w:val="16"/>
          <w:szCs w:val="16"/>
        </w:rPr>
        <w:t>WLV</w:t>
      </w:r>
      <w:r>
        <w:rPr>
          <w:rFonts w:ascii="Arial" w:hAnsi="Arial" w:cs="Arial"/>
          <w:sz w:val="16"/>
          <w:szCs w:val="16"/>
        </w:rPr>
        <w:t xml:space="preserve"> Service.</w:t>
      </w:r>
    </w:p>
    <w:p w14:paraId="647A001D" w14:textId="4BB46B86"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End User Customer's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Advanced 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Pr>
          <w:sz w:val="16"/>
        </w:rPr>
        <w:t xml:space="preserve">As part of the </w:t>
      </w:r>
      <w:r w:rsidR="00D106E3">
        <w:rPr>
          <w:sz w:val="16"/>
        </w:rPr>
        <w:t>WLV</w:t>
      </w:r>
      <w:r>
        <w:rPr>
          <w:sz w:val="16"/>
        </w:rPr>
        <w:t xml:space="preserve"> Service, CenturyLink will combine the Local Switching and Shared </w:t>
      </w:r>
      <w:r>
        <w:rPr>
          <w:rFonts w:cs="Arial"/>
          <w:sz w:val="16"/>
          <w:szCs w:val="16"/>
        </w:rPr>
        <w:t xml:space="preserve">Transport Network Elements with </w:t>
      </w:r>
      <w:r w:rsidR="002D2AE7">
        <w:rPr>
          <w:rFonts w:cs="Arial"/>
          <w:sz w:val="16"/>
          <w:szCs w:val="16"/>
        </w:rPr>
        <w:t xml:space="preserve">an analog </w:t>
      </w:r>
      <w:r>
        <w:rPr>
          <w:rFonts w:cs="Arial"/>
          <w:sz w:val="16"/>
          <w:szCs w:val="16"/>
        </w:rPr>
        <w:t>Loop.</w:t>
      </w:r>
    </w:p>
    <w:p w14:paraId="773F3420" w14:textId="4155D12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End User Customers.  For Loops that have a retail analogue, CenturyLink will provide these Loops in substantially the same time and manner as CenturyLink provides to its own End User Customers.  Loops shall 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w:t>
      </w:r>
      <w:proofErr w:type="spellStart"/>
      <w:r>
        <w:rPr>
          <w:sz w:val="16"/>
        </w:rPr>
        <w:t>Centron</w:t>
      </w:r>
      <w:proofErr w:type="spellEnd"/>
      <w:r>
        <w:rPr>
          <w:sz w:val="16"/>
        </w:rPr>
        <w:t xml:space="preserve">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5EE93C3F"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826F9DF" w:rsidR="004C72A1" w:rsidRDefault="004C72A1" w:rsidP="00600DBC">
      <w:pPr>
        <w:pStyle w:val="Indent2"/>
        <w:tabs>
          <w:tab w:val="clear" w:pos="2160"/>
        </w:tabs>
        <w:spacing w:after="120"/>
        <w:ind w:left="1440" w:hanging="720"/>
        <w:rPr>
          <w:sz w:val="16"/>
        </w:rPr>
      </w:pPr>
      <w:r>
        <w:rPr>
          <w:sz w:val="16"/>
        </w:rPr>
        <w:tab/>
        <w:t>1.3.3.2</w:t>
      </w:r>
      <w:r>
        <w:rPr>
          <w:sz w:val="16"/>
        </w:rPr>
        <w:tab/>
        <w:t>All trunks are designed as 4-Wire leaving the Central Office.  For 2-Wire service, the trunks are converted at the End User Customer’s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 xml:space="preserve">Two-way analog DID trunks are capable of initiating </w:t>
      </w:r>
      <w:proofErr w:type="spellStart"/>
      <w:r>
        <w:rPr>
          <w:sz w:val="16"/>
        </w:rPr>
        <w:t>out going</w:t>
      </w:r>
      <w:proofErr w:type="spellEnd"/>
      <w:r>
        <w:rPr>
          <w:sz w:val="16"/>
        </w:rPr>
        <w:t xml:space="preserve"> calls, and may be equipped with either rotary or touch-tone (DTMF) for this purpose.  When the trunk is equipped with DID call transfer feature, both the trunk and telephone instruments must be equipped with </w:t>
      </w:r>
      <w:r>
        <w:rPr>
          <w:sz w:val="16"/>
        </w:rPr>
        <w:lastRenderedPageBreak/>
        <w:t>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6AB45F37"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End User Customers served by that switch.  CenturyLink's call related databases include the Line Information Database (LIDB), Internetwork Calling Name Database (ICNAM), 8XX Database for toll free calling, AIN Databases, and Local Number Portability Database.  CUSTOMER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w:t>
      </w:r>
      <w:proofErr w:type="spellStart"/>
      <w:r>
        <w:rPr>
          <w:sz w:val="16"/>
        </w:rPr>
        <w:t>interLATA</w:t>
      </w:r>
      <w:proofErr w:type="spellEnd"/>
      <w:r>
        <w:rPr>
          <w:sz w:val="16"/>
        </w:rPr>
        <w:t xml:space="preserve">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End User Customer,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(TCAP)], to the Interexchange Carrier (IXC)</w:t>
      </w:r>
      <w:r>
        <w:rPr>
          <w:sz w:val="16"/>
        </w:rPr>
        <w:t xml:space="preserve"> or other wholesale SS7 provider.</w:t>
      </w:r>
    </w:p>
    <w:p w14:paraId="3C40FB2F" w14:textId="69CCD03F" w:rsidR="004C72A1" w:rsidRDefault="004C72A1" w:rsidP="00600DBC">
      <w:pPr>
        <w:pStyle w:val="Indent2"/>
        <w:tabs>
          <w:tab w:val="clear" w:pos="2160"/>
        </w:tabs>
        <w:spacing w:after="120"/>
        <w:rPr>
          <w:sz w:val="16"/>
        </w:rPr>
      </w:pPr>
      <w:r>
        <w:rPr>
          <w:sz w:val="16"/>
        </w:rPr>
        <w:t>1.4.3</w:t>
      </w:r>
      <w:r>
        <w:rPr>
          <w:sz w:val="16"/>
        </w:rPr>
        <w:tab/>
        <w:t xml:space="preserve">ICNAM and LIDB.  CUSTOMER will have non-discriminatory access to CenturyLink's LIDB database and ICNAM database as part of the delivery of </w:t>
      </w:r>
      <w:r w:rsidR="00D106E3">
        <w:rPr>
          <w:sz w:val="16"/>
        </w:rPr>
        <w:t>WLV</w:t>
      </w:r>
      <w:r>
        <w:rPr>
          <w:sz w:val="16"/>
        </w:rPr>
        <w:t xml:space="preserve"> Service.</w:t>
      </w:r>
    </w:p>
    <w:p w14:paraId="23F0FB6A" w14:textId="7BC570FB" w:rsidR="004C72A1"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(SBN) data; originating line (calling number); billing number and terminating line (called number) information; calling card validation; fraud prevention; Billing or service restrictions; sub-account information to be included on the call’s Billing record; and calling card, billed to third number, and collect call information used in processing Alternately Billed Services (ABS).</w:t>
      </w:r>
    </w:p>
    <w:p w14:paraId="6EE9D3F7" w14:textId="1AAD22DC" w:rsidR="004C72A1" w:rsidRDefault="004C72A1" w:rsidP="00600DBC">
      <w:pPr>
        <w:pStyle w:val="Indent2"/>
        <w:tabs>
          <w:tab w:val="clear" w:pos="2160"/>
        </w:tabs>
        <w:spacing w:after="120"/>
        <w:rPr>
          <w:sz w:val="16"/>
        </w:rPr>
      </w:pPr>
      <w:r>
        <w:rPr>
          <w:sz w:val="16"/>
        </w:rPr>
        <w:t xml:space="preserve">1.4.5  </w:t>
      </w:r>
      <w:r>
        <w:rPr>
          <w:sz w:val="16"/>
        </w:rPr>
        <w:tab/>
        <w:t>The ICNAM database is used with certain end office Switch features to provide the calling party's name to CUSTOMER's End User Customer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5AF49789" w:rsidR="004C72A1" w:rsidRDefault="004C72A1" w:rsidP="00600DBC">
      <w:pPr>
        <w:pStyle w:val="Indent2"/>
        <w:tabs>
          <w:tab w:val="clear" w:pos="2160"/>
        </w:tabs>
        <w:spacing w:after="120"/>
        <w:rPr>
          <w:sz w:val="16"/>
        </w:rPr>
      </w:pPr>
      <w:r>
        <w:rPr>
          <w:sz w:val="16"/>
        </w:rPr>
        <w:t xml:space="preserve">1.4.7  </w:t>
      </w:r>
      <w:r>
        <w:rPr>
          <w:sz w:val="16"/>
        </w:rPr>
        <w:tab/>
        <w:t xml:space="preserve">For CUSTOMER's </w:t>
      </w:r>
      <w:r w:rsidR="00D106E3">
        <w:rPr>
          <w:sz w:val="16"/>
        </w:rPr>
        <w:t>WLV</w:t>
      </w:r>
      <w:r>
        <w:rPr>
          <w:sz w:val="16"/>
        </w:rPr>
        <w:t xml:space="preserve"> End User Customers, CenturyLink will load and update CUSTOMER's </w:t>
      </w:r>
      <w:r w:rsidR="00D106E3">
        <w:rPr>
          <w:sz w:val="16"/>
        </w:rPr>
        <w:t>WLV</w:t>
      </w:r>
      <w:r>
        <w:rPr>
          <w:sz w:val="16"/>
        </w:rPr>
        <w:t xml:space="preserve"> End User Customers' name information into the LIDB and ICNAM databases from CUSTOMER's completed service orders.  CUSTOMER is responsible for the accuracy of its End User Customers' information.</w:t>
      </w:r>
    </w:p>
    <w:p w14:paraId="61FB5CD1" w14:textId="13E79F0D"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CUSTOMER's </w:t>
      </w:r>
      <w:r w:rsidR="00D106E3">
        <w:rPr>
          <w:sz w:val="16"/>
        </w:rPr>
        <w:t>WLV</w:t>
      </w:r>
      <w:r>
        <w:rPr>
          <w:sz w:val="16"/>
        </w:rPr>
        <w:t xml:space="preserve"> End User Customers as CenturyLink accesses for its own End User Customers.  CenturyLink will not be liable for system outage or inaccessibility or for losses arising from the authorized use of the data by CUSTOMER.</w:t>
      </w:r>
    </w:p>
    <w:p w14:paraId="03249A04" w14:textId="5E3E1BB7"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CUSTOMER for the storage of CUSTOMER's </w:t>
      </w:r>
      <w:r w:rsidR="00D106E3">
        <w:rPr>
          <w:sz w:val="16"/>
        </w:rPr>
        <w:t>WLV</w:t>
      </w:r>
      <w:r>
        <w:rPr>
          <w:sz w:val="16"/>
        </w:rPr>
        <w:t xml:space="preserve"> End User Customers'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7337E0C8"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End User Customer’s originating and terminating local/extended area service interoffice Local traffic on the CenturyLink interoffice message trunk network.  CUSTOMER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31D8C1AB"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Pr>
          <w:rFonts w:cs="Arial"/>
          <w:sz w:val="16"/>
          <w:szCs w:val="16"/>
        </w:rPr>
        <w:t>CUSTOMER</w:t>
      </w:r>
      <w:r w:rsidRPr="00285BEB">
        <w:rPr>
          <w:rFonts w:cs="Arial"/>
          <w:sz w:val="16"/>
          <w:szCs w:val="16"/>
        </w:rPr>
        <w:t xml:space="preserve"> has the right to charge switched access to IXCs for each element, as appropriate. </w:t>
      </w:r>
    </w:p>
    <w:p w14:paraId="1F7BCD59" w14:textId="50ABBAE4"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proofErr w:type="spellStart"/>
      <w:r>
        <w:rPr>
          <w:rFonts w:cs="Arial"/>
          <w:b/>
          <w:sz w:val="16"/>
          <w:szCs w:val="16"/>
        </w:rPr>
        <w:t>IntraLATA</w:t>
      </w:r>
      <w:proofErr w:type="spellEnd"/>
      <w:r>
        <w:rPr>
          <w:rFonts w:cs="Arial"/>
          <w:b/>
          <w:sz w:val="16"/>
          <w:szCs w:val="16"/>
        </w:rPr>
        <w:t xml:space="preserve"> and </w:t>
      </w:r>
      <w:proofErr w:type="spellStart"/>
      <w:r>
        <w:rPr>
          <w:rFonts w:cs="Arial"/>
          <w:b/>
          <w:sz w:val="16"/>
          <w:szCs w:val="16"/>
        </w:rPr>
        <w:t>InterLATA</w:t>
      </w:r>
      <w:proofErr w:type="spellEnd"/>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Toll provider(s) on a 2-Primary Interexchange Carrier (PIC) basis.  CUSTOMER will designate the PIC assignment(s) on behalf of its End User Customers for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Services.  All CUSTOMER initiated PIC changes will be in accordance with all Applicable Laws, rules and regulations.  CenturyLink will not be liable for CUSTOMER's improper PIC change requests.</w:t>
      </w:r>
    </w:p>
    <w:p w14:paraId="6B818654" w14:textId="5D69B3BA"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w:t>
      </w:r>
      <w:proofErr w:type="spellStart"/>
      <w:r>
        <w:rPr>
          <w:rFonts w:cs="Arial"/>
          <w:b/>
          <w:sz w:val="16"/>
          <w:szCs w:val="16"/>
        </w:rPr>
        <w:t>IntraLATA</w:t>
      </w:r>
      <w:proofErr w:type="spellEnd"/>
      <w:r>
        <w:rPr>
          <w:rFonts w:cs="Arial"/>
          <w:b/>
          <w:sz w:val="16"/>
          <w:szCs w:val="16"/>
        </w:rPr>
        <w:t xml:space="preserve">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CUSTOMER to offer, request, or select CenturyLink LPIC 5123 service to CUSTOMER’s End User Customers for </w:t>
      </w:r>
      <w:proofErr w:type="spellStart"/>
      <w:r>
        <w:rPr>
          <w:color w:val="000000"/>
          <w:sz w:val="16"/>
          <w:szCs w:val="16"/>
        </w:rPr>
        <w:t>intraLATA</w:t>
      </w:r>
      <w:proofErr w:type="spellEnd"/>
      <w:r>
        <w:rPr>
          <w:color w:val="000000"/>
          <w:sz w:val="16"/>
          <w:szCs w:val="16"/>
        </w:rPr>
        <w:t xml:space="preserve">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CUSTOMER assigns the CenturyLink LPIC 5123 to CUSTOMER’s End User Customers, CenturyLink will bill CUSTOMER and CUSTOMER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lastRenderedPageBreak/>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0CF7878"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CUSTOMER for CUSTOMER’s business End User Customers and is the combination of an analog Line Side Port and Shared Transport provided under the Agreement with an analog - 2 wire voice grade Loop provided for in the Agreement. </w:t>
      </w:r>
    </w:p>
    <w:p w14:paraId="4FDF56ED" w14:textId="384AD1A0"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CUSTOMER for CUSTOMER’s business End User Customers.  </w:t>
      </w:r>
      <w:r w:rsidR="00D106E3">
        <w:rPr>
          <w:sz w:val="16"/>
        </w:rPr>
        <w:t>WLV</w:t>
      </w:r>
      <w:r>
        <w:rPr>
          <w:sz w:val="16"/>
        </w:rPr>
        <w:t xml:space="preserve"> Centrex Services include Centrex 21, Centrex Plus and, in Minnesota only, </w:t>
      </w:r>
      <w:proofErr w:type="spellStart"/>
      <w:r>
        <w:rPr>
          <w:sz w:val="16"/>
        </w:rPr>
        <w:t>Centron</w:t>
      </w:r>
      <w:proofErr w:type="spellEnd"/>
      <w:r>
        <w:rPr>
          <w:sz w:val="16"/>
        </w:rPr>
        <w:t>, and are the combination of an analog Line Side Port and Shared Transport provided under the Agreement with an analog - 2 wire voice grade Loop provided for in the Agreement.</w:t>
      </w:r>
    </w:p>
    <w:p w14:paraId="4616AB72" w14:textId="6759DD29" w:rsidR="004C72A1" w:rsidRDefault="004C72A1" w:rsidP="005360AE">
      <w:pPr>
        <w:pStyle w:val="Indent3"/>
        <w:tabs>
          <w:tab w:val="clear" w:pos="3067"/>
          <w:tab w:val="left" w:pos="1620"/>
        </w:tabs>
        <w:spacing w:after="120"/>
        <w:rPr>
          <w:sz w:val="16"/>
        </w:rPr>
      </w:pPr>
      <w:r>
        <w:rPr>
          <w:sz w:val="16"/>
        </w:rPr>
        <w:t>1.6.2.1</w:t>
      </w:r>
      <w:r>
        <w:rPr>
          <w:sz w:val="16"/>
        </w:rPr>
        <w:tab/>
        <w:t xml:space="preserve"> CUSTOMER may request a conversion from Centrex 21, Centrex-Plus or </w:t>
      </w:r>
      <w:proofErr w:type="spellStart"/>
      <w:r>
        <w:rPr>
          <w:sz w:val="16"/>
        </w:rPr>
        <w:t>Centron</w:t>
      </w:r>
      <w:proofErr w:type="spellEnd"/>
      <w:r>
        <w:rPr>
          <w:sz w:val="16"/>
        </w:rPr>
        <w:t xml:space="preserve">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1F280723" w:rsidR="004C72A1" w:rsidRDefault="004C72A1" w:rsidP="005360AE">
      <w:pPr>
        <w:pStyle w:val="Indent2"/>
        <w:tabs>
          <w:tab w:val="left" w:pos="1440"/>
        </w:tabs>
        <w:spacing w:after="120"/>
        <w:ind w:left="1440"/>
        <w:rPr>
          <w:sz w:val="16"/>
        </w:rPr>
      </w:pPr>
      <w:r>
        <w:rPr>
          <w:sz w:val="16"/>
        </w:rPr>
        <w:t>1.6.2.2</w:t>
      </w:r>
      <w:r>
        <w:rPr>
          <w:sz w:val="16"/>
        </w:rPr>
        <w:tab/>
        <w:t xml:space="preserve">CenturyLink will provide access to Customer Management System (CMS) with </w:t>
      </w:r>
      <w:r w:rsidR="00D106E3">
        <w:rPr>
          <w:sz w:val="16"/>
        </w:rPr>
        <w:t>WLV</w:t>
      </w:r>
      <w:r>
        <w:rPr>
          <w:sz w:val="16"/>
        </w:rPr>
        <w:t>-Centrex at the rates set forth in the Rate Sheet.</w:t>
      </w:r>
    </w:p>
    <w:p w14:paraId="41B4CBAE" w14:textId="258CD1B9"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CUSTOMER for CUSTOMER’s End User Customers and is the combination of a Digital Line Side Port (supporting BRI ISDN), and Shared Transport provided under the Agreement with a Basic Rate ISDN-capable Loop provided in accordance with CUSTOMER’s ICAs, except for those Loops that are otherwise provided for in the Agreement.</w:t>
      </w:r>
      <w:r>
        <w:rPr>
          <w:sz w:val="16"/>
        </w:rPr>
        <w:t xml:space="preserve">  </w:t>
      </w:r>
    </w:p>
    <w:p w14:paraId="4FF6A142" w14:textId="4BA7E425"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CUSTOMER for only CUSTOMER’s Payphone Service Providers (PSPs) and is the combination of an analog Line Side Port and Shared Transport provided under the Agreement with an analog - 2 wire voice grade Loop provided for in the Agreement.  </w:t>
      </w:r>
    </w:p>
    <w:p w14:paraId="43955304" w14:textId="2C6B23D6"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CUSTOMER for CUSTOMER’s business End User Customers.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22AB3161" w:rsidR="004C72A1" w:rsidRDefault="004C72A1" w:rsidP="00A8716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CUSTOMER for CUSTOMER’s residential End User Customers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End User Customer application.  The definition of residential service is the same as in </w:t>
      </w:r>
      <w:r w:rsidRPr="0060150A">
        <w:rPr>
          <w:sz w:val="16"/>
        </w:rPr>
        <w:t>CenturyLink’s retail Tariffs as</w:t>
      </w:r>
      <w:r>
        <w:rPr>
          <w:sz w:val="16"/>
        </w:rPr>
        <w:t xml:space="preserve"> applied to CenturyLink’s End User Customers. </w:t>
      </w:r>
    </w:p>
    <w:p w14:paraId="69C94F45" w14:textId="04FC8B96" w:rsidR="004C72A1" w:rsidRDefault="004C72A1" w:rsidP="00A8716A">
      <w:pPr>
        <w:pStyle w:val="Indent2"/>
        <w:tabs>
          <w:tab w:val="left" w:pos="1440"/>
        </w:tabs>
        <w:spacing w:after="120"/>
        <w:ind w:left="1440"/>
        <w:rPr>
          <w:sz w:val="16"/>
        </w:rPr>
      </w:pPr>
      <w:r>
        <w:rPr>
          <w:sz w:val="16"/>
        </w:rPr>
        <w:t>1.6.6.1</w:t>
      </w:r>
      <w:r>
        <w:rPr>
          <w:sz w:val="16"/>
        </w:rPr>
        <w:tab/>
        <w:t xml:space="preserve">In order for CUSTOMER to receive </w:t>
      </w:r>
      <w:r w:rsidR="00D106E3">
        <w:rPr>
          <w:sz w:val="16"/>
        </w:rPr>
        <w:t>WLV</w:t>
      </w:r>
      <w:r>
        <w:rPr>
          <w:sz w:val="16"/>
        </w:rPr>
        <w:t xml:space="preserve"> Residential rates via the monthly Residential End User Credit provided in the Rate Sheet, CUSTOMER must identify residential end users by working telephone number (WTN) utilizing the LSR process as described in the CenturyLink wholesale website.</w:t>
      </w:r>
    </w:p>
    <w:p w14:paraId="6AF3088B" w14:textId="2B8E0C01" w:rsidR="004C72A1" w:rsidRDefault="004C72A1" w:rsidP="00A8716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End User Customers that is also available under this Agreement, upon thirty (30) Days prior written notice to </w:t>
      </w:r>
      <w:r>
        <w:rPr>
          <w:rFonts w:cs="Arial"/>
          <w:sz w:val="16"/>
          <w:szCs w:val="16"/>
        </w:rPr>
        <w:t>CUSTOMER</w:t>
      </w:r>
      <w:r w:rsidRPr="00097EE6">
        <w:rPr>
          <w:rFonts w:cs="Arial"/>
          <w:sz w:val="16"/>
          <w:szCs w:val="16"/>
        </w:rPr>
        <w:t xml:space="preserve">, CenturyLink will also cease offering the service to </w:t>
      </w:r>
      <w:r>
        <w:rPr>
          <w:rFonts w:cs="Arial"/>
          <w:sz w:val="16"/>
          <w:szCs w:val="16"/>
        </w:rPr>
        <w:t>CUSTOMER.</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295D381E"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serving wire center.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End User Customer will be considered eligible for use by CUSTOMER for </w:t>
      </w:r>
      <w:r w:rsidR="00D106E3">
        <w:rPr>
          <w:sz w:val="16"/>
          <w:szCs w:val="16"/>
        </w:rPr>
        <w:t>WLV</w:t>
      </w:r>
      <w:r>
        <w:rPr>
          <w:sz w:val="16"/>
          <w:szCs w:val="16"/>
        </w:rPr>
        <w:t xml:space="preserve"> Service to serve that same End User Customer. </w:t>
      </w:r>
    </w:p>
    <w:p w14:paraId="33F90228" w14:textId="5F26D36B"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CUSTOMER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341095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CUSTOMER certain originating and terminating call records (“usage information”) generated by CUSTOMER’s </w:t>
      </w:r>
      <w:r w:rsidR="00D106E3">
        <w:rPr>
          <w:sz w:val="16"/>
        </w:rPr>
        <w:t>WLV</w:t>
      </w:r>
      <w:r>
        <w:rPr>
          <w:sz w:val="16"/>
        </w:rPr>
        <w:t xml:space="preserve"> end user via a DUF.</w:t>
      </w:r>
    </w:p>
    <w:p w14:paraId="598909BD" w14:textId="4CD35985"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CUSTOMER Local Call usage information within CenturyLink’s control with respect to calls originated by or terminated to CUSTOMER </w:t>
      </w:r>
      <w:r w:rsidR="00D106E3">
        <w:rPr>
          <w:sz w:val="16"/>
        </w:rPr>
        <w:t>WLV</w:t>
      </w:r>
      <w:r>
        <w:rPr>
          <w:sz w:val="16"/>
        </w:rPr>
        <w:t xml:space="preserve"> End User Customers in the form of the actual information that is comparable to the information CenturyLink uses to bill its own End User Customers. </w:t>
      </w:r>
    </w:p>
    <w:p w14:paraId="79478C9F" w14:textId="7ECDF263" w:rsidR="004C72A1" w:rsidRDefault="004C72A1" w:rsidP="00111B88">
      <w:pPr>
        <w:pStyle w:val="Indent2"/>
        <w:tabs>
          <w:tab w:val="clear" w:pos="2160"/>
        </w:tabs>
        <w:spacing w:after="120"/>
        <w:rPr>
          <w:sz w:val="16"/>
        </w:rPr>
      </w:pPr>
      <w:r>
        <w:rPr>
          <w:sz w:val="16"/>
        </w:rPr>
        <w:t>2.3.2</w:t>
      </w:r>
      <w:r>
        <w:rPr>
          <w:sz w:val="16"/>
        </w:rPr>
        <w:tab/>
        <w:t xml:space="preserve">CenturyLink will provide to CUSTOMER usage information necessary for CUSTOMER to bill for </w:t>
      </w:r>
      <w:proofErr w:type="spellStart"/>
      <w:r>
        <w:rPr>
          <w:sz w:val="16"/>
        </w:rPr>
        <w:t>interLATA</w:t>
      </w:r>
      <w:proofErr w:type="spellEnd"/>
      <w:r>
        <w:rPr>
          <w:sz w:val="16"/>
        </w:rPr>
        <w:t xml:space="preserve"> and </w:t>
      </w:r>
      <w:proofErr w:type="spellStart"/>
      <w:r>
        <w:rPr>
          <w:sz w:val="16"/>
        </w:rPr>
        <w:t>intraLATA</w:t>
      </w:r>
      <w:proofErr w:type="spellEnd"/>
      <w:r>
        <w:rPr>
          <w:sz w:val="16"/>
        </w:rPr>
        <w:t xml:space="preserve"> exchange access to the IXC (excluding </w:t>
      </w:r>
      <w:proofErr w:type="spellStart"/>
      <w:r>
        <w:rPr>
          <w:rFonts w:cs="Arial"/>
          <w:sz w:val="16"/>
          <w:szCs w:val="16"/>
        </w:rPr>
        <w:t>intraLATA</w:t>
      </w:r>
      <w:proofErr w:type="spellEnd"/>
      <w:r>
        <w:rPr>
          <w:rFonts w:cs="Arial"/>
          <w:sz w:val="16"/>
          <w:szCs w:val="16"/>
        </w:rPr>
        <w:t xml:space="preserve"> usage information if CenturyLink LPIC 5123 is selected as </w:t>
      </w:r>
      <w:r>
        <w:rPr>
          <w:sz w:val="16"/>
        </w:rPr>
        <w:t xml:space="preserve">the </w:t>
      </w:r>
      <w:proofErr w:type="spellStart"/>
      <w:r>
        <w:rPr>
          <w:sz w:val="16"/>
        </w:rPr>
        <w:t>intraLATA</w:t>
      </w:r>
      <w:proofErr w:type="spellEnd"/>
      <w:r>
        <w:rPr>
          <w:sz w:val="16"/>
        </w:rPr>
        <w:t xml:space="preserve"> Toll provider) in the form of either the actual usage or a negotiated or approved surrogate for this information, as such billing is described and allowed under section 3.7 of this Attachment.  These exchange access records will be provided as Category 11 EMI records via the DUF.</w:t>
      </w:r>
    </w:p>
    <w:p w14:paraId="48EA9E5B" w14:textId="313B77ED"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CUSTOMER’s </w:t>
      </w:r>
      <w:r w:rsidR="00D106E3">
        <w:rPr>
          <w:sz w:val="16"/>
        </w:rPr>
        <w:t>WLV</w:t>
      </w:r>
      <w:r>
        <w:rPr>
          <w:sz w:val="16"/>
        </w:rPr>
        <w:t xml:space="preserve"> lines, including Busy Line Verify (BLV), Busy Line Interrupt (BLI); originating local usage; usage sensitive CLASS features; and CenturyLink-provided </w:t>
      </w:r>
      <w:proofErr w:type="spellStart"/>
      <w:r>
        <w:rPr>
          <w:sz w:val="16"/>
        </w:rPr>
        <w:t>intraLATA</w:t>
      </w:r>
      <w:proofErr w:type="spellEnd"/>
      <w:r>
        <w:rPr>
          <w:sz w:val="16"/>
        </w:rPr>
        <w:t xml:space="preserve"> toll.  </w:t>
      </w:r>
    </w:p>
    <w:p w14:paraId="6BC9E6CB" w14:textId="54610F01" w:rsidR="004C72A1" w:rsidRDefault="004C72A1" w:rsidP="00111B88">
      <w:pPr>
        <w:pStyle w:val="Indent2"/>
        <w:tabs>
          <w:tab w:val="clear" w:pos="2160"/>
        </w:tabs>
        <w:spacing w:after="120"/>
        <w:rPr>
          <w:sz w:val="16"/>
        </w:rPr>
      </w:pPr>
      <w:r>
        <w:rPr>
          <w:sz w:val="16"/>
        </w:rPr>
        <w:lastRenderedPageBreak/>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CenturyLink may charge for the provision of DUF and associated information as provided for in this section pursuant to the charges identified in the applicable Rate Sheet.</w:t>
      </w:r>
    </w:p>
    <w:p w14:paraId="3BA7DC81" w14:textId="091B9CC1" w:rsidR="004C72A1" w:rsidRDefault="004C72A1" w:rsidP="00C161D7">
      <w:pPr>
        <w:pStyle w:val="Indent2"/>
        <w:tabs>
          <w:tab w:val="clear" w:pos="2160"/>
        </w:tabs>
        <w:spacing w:after="120"/>
        <w:ind w:hanging="720"/>
        <w:rPr>
          <w:sz w:val="16"/>
        </w:rPr>
      </w:pPr>
      <w:bookmarkStart w:id="252" w:name="z09y23y1_ABCDEFGHIJKLMN12"/>
      <w:bookmarkStart w:id="253" w:name="z19y23y1y1_ABCDEFGHIJKLMN12"/>
      <w:bookmarkStart w:id="254" w:name="z19y23y1y2_ABCDEFGHIJKLMN12"/>
      <w:bookmarkStart w:id="255" w:name="z09y23y1y2y1_ABCEFGHIJKLMN"/>
      <w:bookmarkStart w:id="256" w:name="z19y23y1y2y1_ABCEFGHIJKLMN12"/>
      <w:bookmarkStart w:id="257" w:name="z09y23y1y2y1_D"/>
      <w:bookmarkStart w:id="258" w:name="z09y23y1y2y2_ABCDEFGHIJKLMN2"/>
      <w:bookmarkStart w:id="259" w:name="z19y23y1y2y2_CDEFGHIKLN12"/>
      <w:bookmarkStart w:id="260" w:name="z09y23y1y2y2_A2"/>
      <w:bookmarkStart w:id="261" w:name="z09y23y1y2y3_CI2"/>
      <w:bookmarkStart w:id="262" w:name="z19y23y1y3_ABCDEFGHIJKLMN12"/>
      <w:bookmarkStart w:id="263" w:name="z09y23y1y4_BCDEFGHIJKLN2"/>
      <w:bookmarkStart w:id="264" w:name="z19y23y1y4_BCDEFGHIJKLN12"/>
      <w:bookmarkStart w:id="265" w:name="z09y23y1y4_A2"/>
      <w:bookmarkStart w:id="266" w:name="z09y23y1y4_M2"/>
      <w:bookmarkStart w:id="267" w:name="z09y23y1y5_BCDEFGHIJKLN2"/>
      <w:bookmarkStart w:id="268" w:name="z19y23y1y5_BCDEFGHIJKLN12"/>
      <w:bookmarkStart w:id="269" w:name="z09y23y1y5_A2"/>
      <w:bookmarkStart w:id="270" w:name="z19y23y1y5y1_ABCDEFGHIJKLMN12"/>
      <w:bookmarkStart w:id="271" w:name="z19y23y1y5y2_ABCDEFGHIJKLMN12"/>
      <w:bookmarkStart w:id="272" w:name="z19y23y1y5y3_ABCDEFGHIJKLMN12"/>
      <w:bookmarkStart w:id="273" w:name="z09y23y1y6_BCDEFGHIJKLN2"/>
      <w:bookmarkStart w:id="274" w:name="z19y23y1y6_BCDEFGHIJKLN12"/>
      <w:bookmarkStart w:id="275" w:name="z09y23y1y6_A2"/>
      <w:bookmarkStart w:id="276" w:name="z19y23y1y6y1_ABCDEFGHIJKLMN12"/>
      <w:bookmarkStart w:id="277" w:name="z19y23y1y6y2_ABCDEFGHIJKLMN12"/>
      <w:bookmarkStart w:id="278" w:name="z19y23y1y6y3_ABCDEFGHIJKLMN12"/>
      <w:bookmarkStart w:id="279" w:name="z19y23y1y6y4_ABCDEFGHIJKLMN12"/>
      <w:bookmarkStart w:id="280" w:name="z0Hy9y23y1y7_ABCDEFGHIJKLMN"/>
      <w:bookmarkStart w:id="281" w:name="z19y23y1y7_ACEGHIJKLMN12"/>
      <w:bookmarkStart w:id="282" w:name="z09yy23y1y7_ABCDEFGHIJKLMN"/>
      <w:bookmarkStart w:id="283" w:name="z19y23y1y8_ABCDEFGHIJKLMN12"/>
      <w:bookmarkStart w:id="284" w:name="z0Hy9y23y2_ABCDEFGHIJKLMN12"/>
      <w:bookmarkStart w:id="285" w:name="z19y23y2_ABCDEFGHIJKLMN12"/>
      <w:bookmarkStart w:id="286" w:name="z09y23y3_ABCDEFGHIJKLMN12"/>
      <w:bookmarkStart w:id="287" w:name="z19y23y3y1_ABCDEFGHIJKLMN12"/>
      <w:bookmarkStart w:id="288" w:name="z19y23y3y2_ABCDEFGHIJKLMN12"/>
      <w:bookmarkStart w:id="289" w:name="z19y11y1y6_CDEFGHIKLN12"/>
      <w:bookmarkStart w:id="290" w:name="z19y11y1y69_ABCDEFGHIJKLMN12"/>
      <w:bookmarkStart w:id="291" w:name="z19y11y1y7_ABCDEFGHIJKLMN12"/>
      <w:bookmarkStart w:id="292" w:name="z19y11y1y9y1_ABCDEFGHIJKLMN12"/>
      <w:bookmarkStart w:id="293" w:name="z19y11y111_ABCDEFGHIJKLMN12"/>
      <w:bookmarkStart w:id="294" w:name="z19y11y2_ABCDEFGHIJKLMN12"/>
      <w:bookmarkStart w:id="295" w:name="z19y11y2y3_ABCDEFGHIJKLMN12"/>
      <w:bookmarkStart w:id="296" w:name="z19y11y2y12_ABCDEFGHIJKLMN12"/>
      <w:bookmarkStart w:id="297" w:name="z09y11y3y2_ABCDEFGHIJKLMN"/>
      <w:bookmarkStart w:id="298" w:name="z19y11y3y3_ABCDFGHIJKLMN12"/>
      <w:bookmarkStart w:id="299" w:name="z09y11y3y5ym_ABCDEFGHIJKLMN"/>
      <w:bookmarkStart w:id="300" w:name="z110y4_ABCDEFGHIJKLMN12"/>
      <w:bookmarkStart w:id="301" w:name="z19y23y3y3_ABCDEFGHIJKLMN12"/>
      <w:bookmarkStart w:id="302" w:name="z19y23y3y4_ABCDEFGHIJKLMN12"/>
      <w:bookmarkStart w:id="303" w:name="z19y23y3y5_ABCDEFGHIJKLMN12"/>
      <w:bookmarkStart w:id="304" w:name="z19y23y3y6_ABCDEFGHIJKLMN12"/>
      <w:bookmarkStart w:id="305" w:name="z19y23y3y6y1_ABCDEFGHIJKLMN12"/>
      <w:bookmarkStart w:id="306" w:name="z19y23y3y6y2_ABCDEFGHIJKLMN12"/>
      <w:bookmarkStart w:id="307" w:name="z19y23y3y6y3_ABCDEFGHIJKLMN12"/>
      <w:bookmarkStart w:id="308" w:name="z19y23y3y7_ABCDEFGHIJKLMN12"/>
      <w:bookmarkStart w:id="309" w:name="z19y23y3y7y1_ABCDEFGHIJKLMN12"/>
      <w:bookmarkStart w:id="310" w:name="z19y23y3y7y2_ABCDEFGHIJKLMN12"/>
      <w:bookmarkStart w:id="311" w:name="z09y23y3y7y1_ABCDEFGHIJKLMN12"/>
      <w:bookmarkStart w:id="312" w:name="z19y23y3y72_ABCDEFGHIJKLMN12"/>
      <w:bookmarkStart w:id="313" w:name="z19y23y3y7y3_ABCDEFGHIJKLMN12"/>
      <w:bookmarkStart w:id="314" w:name="z19y23y3y7y4_ABCDEFGHIJKLMN12"/>
      <w:bookmarkStart w:id="315" w:name="z19y23y3y7y5_ABCDEFGHIJKLMN12"/>
      <w:bookmarkStart w:id="316" w:name="z19y23y3y7y6_ABCDEFGHIJKLMN12"/>
      <w:bookmarkStart w:id="317" w:name="z19y23y3y7y7_ABCDEFGHIJKLMN12"/>
      <w:bookmarkStart w:id="318" w:name="z19y23y3y7y2y7_ABCDEFGHIJKLMN12"/>
      <w:bookmarkStart w:id="319" w:name="z19y23y3y7y9_ABCDEFGHIJKLMN12"/>
      <w:bookmarkStart w:id="320" w:name="z19y23y3y710_ABCDEFGHIJKLMN12"/>
      <w:bookmarkStart w:id="321" w:name="z19y23y3y721_ABCDEFGHIJKLMN12"/>
      <w:bookmarkStart w:id="322" w:name="z09y23y3y7y2y12y8_BCDEFGHIJKLN2"/>
      <w:bookmarkStart w:id="323" w:name="z19y23y3y7y2_BCDEFGHIJKLN12"/>
      <w:bookmarkStart w:id="324" w:name="z09y23y3y7y2y12y8_A2"/>
      <w:bookmarkStart w:id="325" w:name="z19y23y3y8_ABCDEFGHIJKLMN12"/>
      <w:bookmarkStart w:id="326" w:name="z19y23y3y9_ABCDEFGHIJKLMN12"/>
      <w:bookmarkStart w:id="327" w:name="z19y23y3y9y1_ABCDEFGHIJKLMN12"/>
      <w:bookmarkStart w:id="328" w:name="z19y23y3y9y2_ABCDEFGHIJKLMN12"/>
      <w:bookmarkStart w:id="329" w:name="z19y23y3y9y3_ABCDEFGHIJKLMN12"/>
      <w:bookmarkStart w:id="330" w:name="z09y23y3y9y4_ABCDFGHIJKLMN2"/>
      <w:bookmarkStart w:id="331" w:name="z19y23y3y9y4_ABCDFGHIJKLMN12"/>
      <w:bookmarkStart w:id="332" w:name="z09y23y3y9y4_E2"/>
      <w:bookmarkStart w:id="333" w:name="z19y23y3y9y5_ABCDFGHIJKLMN12"/>
      <w:bookmarkStart w:id="334" w:name="z09y23y3y9y5_E2"/>
      <w:bookmarkStart w:id="335" w:name="z19y23y3y10_ABCDEFGHIJKLMN12"/>
      <w:bookmarkStart w:id="336" w:name="z19y23y3y11_ABCDEFGHIJKLMN12"/>
      <w:bookmarkStart w:id="337" w:name="z19y23y3y111_ABCDEFGHIJKLMN1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sz w:val="16"/>
        </w:rPr>
        <w:t>2.4</w:t>
      </w:r>
      <w:r>
        <w:rPr>
          <w:sz w:val="16"/>
        </w:rPr>
        <w:tab/>
      </w:r>
      <w:bookmarkStart w:id="338" w:name="z19y23y3y112_ABCDEFGHIJKLMN12"/>
      <w:bookmarkStart w:id="339" w:name="z19y23y1y113_ABCDEFGHIJKLMN12"/>
      <w:bookmarkStart w:id="340" w:name="z19y23y3y114_ABCDEFGHIJKLMN12"/>
      <w:bookmarkEnd w:id="338"/>
      <w:bookmarkEnd w:id="339"/>
      <w:bookmarkEnd w:id="340"/>
      <w:r>
        <w:rPr>
          <w:sz w:val="16"/>
        </w:rPr>
        <w:t xml:space="preserve">Feature and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CUSTOMER.</w:t>
      </w:r>
    </w:p>
    <w:p w14:paraId="31C303ED" w14:textId="3E530912" w:rsidR="004C72A1" w:rsidRDefault="004C72A1" w:rsidP="00C161D7">
      <w:pPr>
        <w:pStyle w:val="Indent2"/>
        <w:tabs>
          <w:tab w:val="clear" w:pos="2160"/>
        </w:tabs>
        <w:spacing w:after="120"/>
        <w:ind w:hanging="720"/>
        <w:rPr>
          <w:sz w:val="16"/>
        </w:rPr>
      </w:pPr>
      <w:bookmarkStart w:id="341" w:name="z19y23y3y115_ABCDEFGHIJKLMN12"/>
      <w:bookmarkEnd w:id="341"/>
      <w:r>
        <w:rPr>
          <w:sz w:val="16"/>
        </w:rPr>
        <w:t>2.5</w:t>
      </w:r>
      <w:r>
        <w:rPr>
          <w:sz w:val="16"/>
        </w:rPr>
        <w:tab/>
        <w:t xml:space="preserve">Access to 911/E911 emergency Services for CUSTOMER’s End User Customers will be available in accordance with CUSTOMER’s ICAs.  If CenturyLink is no longer obligated to provide access to 911/E911 emergency services in accordance with 47 U.S.C. §251, CenturyLink will then provide such services under the Agreement with respect to all CUSTOMER </w:t>
      </w:r>
      <w:r w:rsidR="00D106E3">
        <w:rPr>
          <w:sz w:val="16"/>
        </w:rPr>
        <w:t>WLV</w:t>
      </w:r>
      <w:r>
        <w:rPr>
          <w:sz w:val="16"/>
        </w:rPr>
        <w:t xml:space="preserve"> Service End User Customers and new </w:t>
      </w:r>
      <w:r w:rsidR="00D106E3">
        <w:rPr>
          <w:sz w:val="16"/>
        </w:rPr>
        <w:t>WLV</w:t>
      </w:r>
      <w:r>
        <w:rPr>
          <w:sz w:val="16"/>
        </w:rPr>
        <w:t xml:space="preserve"> Service End User Customers, to the same degree and extent that 911/E911 emergency services were provided by CenturyLink prior to the elimination of 911/E911 emergency services as an obligation under 47 U.S.C. §251.</w:t>
      </w:r>
      <w:bookmarkStart w:id="342" w:name="z19y23y3y116_ABCDEFGHIJKLMN12"/>
      <w:bookmarkEnd w:id="342"/>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43" w:name="z09y23y3y11y7_ABCDEFGHIKLMN2"/>
      <w:bookmarkStart w:id="344" w:name="z19y23y3y11y_ABCDEFGHIKLMN12"/>
      <w:bookmarkEnd w:id="343"/>
      <w:bookmarkEnd w:id="344"/>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3F9F3964" w:rsidR="004C72A1" w:rsidRDefault="004C72A1" w:rsidP="00C161D7">
      <w:pPr>
        <w:pStyle w:val="Indent2"/>
        <w:tabs>
          <w:tab w:val="clear" w:pos="2160"/>
        </w:tabs>
        <w:spacing w:after="120"/>
        <w:ind w:hanging="720"/>
        <w:rPr>
          <w:sz w:val="16"/>
        </w:rPr>
      </w:pPr>
      <w:bookmarkStart w:id="345" w:name="z0Hy9y23_ABCDEFGHIJKLMN"/>
      <w:bookmarkStart w:id="346" w:name="z19y23y3y11y_BCDFGHIJKLMN12"/>
      <w:bookmarkStart w:id="347" w:name="z09y23y3y11_ABCDEFGHIJKLMN"/>
      <w:bookmarkStart w:id="348" w:name="z19y23y3y119_BCDEFGHIJKLMN12"/>
      <w:bookmarkStart w:id="349" w:name="z09y23y3y11y_ABCDEFGHIJKLMN"/>
      <w:bookmarkStart w:id="350" w:name="z19y23y2y110_ABCDEFGHIJKLMN12"/>
      <w:bookmarkEnd w:id="345"/>
      <w:bookmarkEnd w:id="346"/>
      <w:bookmarkEnd w:id="347"/>
      <w:bookmarkEnd w:id="348"/>
      <w:bookmarkEnd w:id="349"/>
      <w:bookmarkEnd w:id="350"/>
      <w:r>
        <w:rPr>
          <w:sz w:val="16"/>
        </w:rPr>
        <w:t>2.7</w:t>
      </w:r>
      <w:r>
        <w:rPr>
          <w:b/>
          <w:sz w:val="16"/>
        </w:rPr>
        <w:tab/>
      </w:r>
      <w:r>
        <w:rPr>
          <w:sz w:val="16"/>
        </w:rPr>
        <w:t xml:space="preserve">If CenturyLink develops and deploys new local switch features for its End User Customers,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503F2FEB" w:rsidR="004C72A1" w:rsidRDefault="004C72A1" w:rsidP="00C161D7">
      <w:pPr>
        <w:pStyle w:val="Indent2"/>
        <w:tabs>
          <w:tab w:val="clear" w:pos="2160"/>
        </w:tabs>
        <w:spacing w:after="120"/>
        <w:ind w:hanging="720"/>
        <w:rPr>
          <w:sz w:val="16"/>
        </w:rPr>
      </w:pPr>
      <w:r>
        <w:rPr>
          <w:sz w:val="16"/>
        </w:rPr>
        <w:t>2.8</w:t>
      </w:r>
      <w:r>
        <w:rPr>
          <w:sz w:val="16"/>
        </w:rPr>
        <w:tab/>
        <w:t>Nothing in the Agreement alters or affects CUSTOMER’s right to receive any applicable universal service subsidy or other similar payments.</w:t>
      </w:r>
    </w:p>
    <w:p w14:paraId="71DBC779" w14:textId="5375A65A"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CenturyLink Operator Services and Directory Assistance Services are provided under the terms and conditions of CUSTOMER’s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51" w:name="z0H9y23y3y12_ABCDEFGHIJKLMN"/>
      <w:bookmarkStart w:id="352" w:name="z19y23y3y12_CDEFGHIKLN12"/>
      <w:bookmarkStart w:id="353" w:name="z09y23y3y17_A2"/>
      <w:bookmarkStart w:id="354" w:name="z09y23y4_ABCDEFGHIJKLMN12"/>
      <w:bookmarkEnd w:id="351"/>
      <w:bookmarkEnd w:id="352"/>
      <w:bookmarkEnd w:id="353"/>
      <w:bookmarkEnd w:id="354"/>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2FAF52F3"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Pr>
          <w:rFonts w:ascii="Arial" w:hAnsi="Arial"/>
          <w:b/>
          <w:sz w:val="16"/>
        </w:rPr>
        <w:t>WLV</w:t>
      </w:r>
      <w:r>
        <w:rPr>
          <w:rFonts w:ascii="Arial" w:hAnsi="Arial"/>
          <w:b/>
          <w:sz w:val="16"/>
        </w:rPr>
        <w:t xml:space="preserve"> </w:t>
      </w:r>
      <w:r w:rsidR="00587FBD">
        <w:rPr>
          <w:rFonts w:ascii="Arial" w:hAnsi="Arial"/>
          <w:b/>
          <w:sz w:val="16"/>
        </w:rPr>
        <w:t>R</w:t>
      </w:r>
      <w:r>
        <w:rPr>
          <w:rFonts w:ascii="Arial" w:hAnsi="Arial"/>
          <w:b/>
          <w:sz w:val="16"/>
        </w:rPr>
        <w:t xml:space="preserve">ates </w:t>
      </w:r>
      <w:r w:rsidR="00587FBD">
        <w:rPr>
          <w:rFonts w:ascii="Arial" w:hAnsi="Arial"/>
          <w:b/>
          <w:sz w:val="16"/>
        </w:rPr>
        <w:t xml:space="preserve">as of </w:t>
      </w:r>
      <w:r>
        <w:rPr>
          <w:rFonts w:ascii="Arial" w:hAnsi="Arial"/>
          <w:b/>
          <w:sz w:val="16"/>
        </w:rPr>
        <w:t>Effective Date.</w:t>
      </w:r>
      <w:r>
        <w:rPr>
          <w:rFonts w:ascii="Arial" w:hAnsi="Arial"/>
          <w:sz w:val="16"/>
        </w:rPr>
        <w:t xml:space="preserve">  Starting on the Effective Date of the Agreement, rates for the Service will be those provided</w:t>
      </w:r>
      <w:r>
        <w:rPr>
          <w:rFonts w:ascii="Arial" w:hAnsi="Arial"/>
          <w:snapToGrid w:val="0"/>
          <w:sz w:val="16"/>
        </w:rPr>
        <w:t xml:space="preserve"> or referenced in the attached Rate Sheet.  </w:t>
      </w:r>
      <w:r w:rsidR="00022D4A">
        <w:rPr>
          <w:rFonts w:ascii="Arial" w:hAnsi="Arial"/>
          <w:snapToGrid w:val="0"/>
          <w:sz w:val="16"/>
        </w:rPr>
        <w:t xml:space="preserve">  </w:t>
      </w:r>
    </w:p>
    <w:p w14:paraId="0E62B381" w14:textId="2D9D4380" w:rsidR="004C72A1" w:rsidRDefault="004C72A1" w:rsidP="00C161D7">
      <w:pPr>
        <w:autoSpaceDE w:val="0"/>
        <w:autoSpaceDN w:val="0"/>
        <w:adjustRightInd w:val="0"/>
        <w:spacing w:after="120"/>
        <w:ind w:left="720" w:hanging="720"/>
        <w:jc w:val="both"/>
        <w:rPr>
          <w:rFonts w:ascii="Arial" w:hAnsi="Arial" w:cs="Arial"/>
          <w:sz w:val="16"/>
          <w:szCs w:val="16"/>
        </w:rPr>
      </w:pPr>
      <w:bookmarkStart w:id="355" w:name="OLE_LINK1"/>
      <w:bookmarkStart w:id="356" w:name="OLE_LINK2"/>
      <w:r>
        <w:rPr>
          <w:rFonts w:ascii="Arial" w:hAnsi="Arial"/>
          <w:sz w:val="16"/>
        </w:rPr>
        <w:t>3.</w:t>
      </w:r>
      <w:r w:rsidR="00587FBD">
        <w:rPr>
          <w:rFonts w:ascii="Arial" w:hAnsi="Arial"/>
          <w:sz w:val="16"/>
        </w:rPr>
        <w:t>3</w:t>
      </w:r>
      <w:r>
        <w:rPr>
          <w:rFonts w:ascii="Arial" w:hAnsi="Arial"/>
          <w:b/>
          <w:sz w:val="16"/>
        </w:rPr>
        <w:tab/>
      </w:r>
      <w:r>
        <w:rPr>
          <w:rFonts w:ascii="Arial" w:hAnsi="Arial" w:cs="Arial"/>
          <w:b/>
          <w:sz w:val="16"/>
          <w:szCs w:val="16"/>
        </w:rPr>
        <w:t>Loops provided under the Agreement.</w:t>
      </w:r>
      <w:r>
        <w:rPr>
          <w:rFonts w:ascii="Arial" w:hAnsi="Arial" w:cs="Arial"/>
          <w:sz w:val="16"/>
          <w:szCs w:val="16"/>
        </w:rPr>
        <w:t xml:space="preserve">  Upon thirty (30) </w:t>
      </w:r>
      <w:proofErr w:type="spellStart"/>
      <w:r>
        <w:rPr>
          <w:rFonts w:ascii="Arial" w:hAnsi="Arial" w:cs="Arial"/>
          <w:sz w:val="16"/>
          <w:szCs w:val="16"/>
        </w:rPr>
        <w:t>Days notice</w:t>
      </w:r>
      <w:proofErr w:type="spellEnd"/>
      <w:r>
        <w:rPr>
          <w:rFonts w:ascii="Arial" w:hAnsi="Arial" w:cs="Arial"/>
          <w:sz w:val="16"/>
          <w:szCs w:val="16"/>
        </w:rPr>
        <w:t xml:space="preserve"> via the standard commercial notification process, CenturyLink may change monthly recurring charges for the </w:t>
      </w:r>
      <w:r w:rsidR="00587FBD">
        <w:rPr>
          <w:rFonts w:ascii="Arial" w:hAnsi="Arial" w:cs="Arial"/>
          <w:sz w:val="16"/>
          <w:szCs w:val="16"/>
        </w:rPr>
        <w:t>any of the</w:t>
      </w:r>
      <w:r>
        <w:rPr>
          <w:rFonts w:ascii="Arial" w:hAnsi="Arial" w:cs="Arial"/>
          <w:sz w:val="16"/>
          <w:szCs w:val="16"/>
        </w:rPr>
        <w:t xml:space="preserve"> elements provided under the Agreement.  </w:t>
      </w:r>
    </w:p>
    <w:p w14:paraId="7B8D03CC" w14:textId="39A2E7E8" w:rsidR="004C72A1" w:rsidRDefault="004C72A1" w:rsidP="00C161D7">
      <w:pPr>
        <w:pStyle w:val="Indent2"/>
        <w:tabs>
          <w:tab w:val="clear" w:pos="2160"/>
        </w:tabs>
        <w:spacing w:after="120"/>
        <w:ind w:hanging="720"/>
        <w:rPr>
          <w:sz w:val="16"/>
        </w:rPr>
      </w:pPr>
      <w:bookmarkStart w:id="357" w:name="z19y23y4y1_ABCDEFGHIJKLMN12"/>
      <w:bookmarkStart w:id="358" w:name="z19y23y4y1y1_ABCDEFGHIJKLMN12"/>
      <w:bookmarkStart w:id="359" w:name="z09y23y4y1y2_ACDEFGHIJKLMN2"/>
      <w:bookmarkStart w:id="360" w:name="z19y23y4y1y2_ACDEFGHIJKLMN12"/>
      <w:bookmarkStart w:id="361" w:name="z09y23y4y1y2_B2"/>
      <w:bookmarkStart w:id="362" w:name="z19y23y4y2_ABCEFGHIJKLMN12"/>
      <w:bookmarkStart w:id="363" w:name="z09y23y4y2_D"/>
      <w:bookmarkStart w:id="364" w:name="z19y23y4y3_ABCDEFGHIJKLMN12"/>
      <w:bookmarkEnd w:id="355"/>
      <w:bookmarkEnd w:id="356"/>
      <w:bookmarkEnd w:id="357"/>
      <w:bookmarkEnd w:id="358"/>
      <w:bookmarkEnd w:id="359"/>
      <w:bookmarkEnd w:id="360"/>
      <w:bookmarkEnd w:id="361"/>
      <w:bookmarkEnd w:id="362"/>
      <w:bookmarkEnd w:id="363"/>
      <w:bookmarkEnd w:id="364"/>
      <w:r>
        <w:rPr>
          <w:sz w:val="16"/>
        </w:rPr>
        <w:t>3.</w:t>
      </w:r>
      <w:r w:rsidR="00022D4A">
        <w:rPr>
          <w:sz w:val="16"/>
        </w:rPr>
        <w:t>4</w:t>
      </w:r>
      <w:r>
        <w:rPr>
          <w:sz w:val="16"/>
        </w:rPr>
        <w:tab/>
      </w:r>
      <w:r w:rsidR="00587FBD">
        <w:rPr>
          <w:b/>
          <w:bCs/>
          <w:sz w:val="16"/>
        </w:rPr>
        <w:t xml:space="preserve">Miscellaneous Charges.  </w:t>
      </w:r>
      <w:r>
        <w:rPr>
          <w:sz w:val="16"/>
        </w:rPr>
        <w:t xml:space="preserve">CUSTOMER will be responsible for billing its </w:t>
      </w:r>
      <w:r w:rsidR="00D106E3">
        <w:rPr>
          <w:sz w:val="16"/>
        </w:rPr>
        <w:t>WLV</w:t>
      </w:r>
      <w:r>
        <w:rPr>
          <w:sz w:val="16"/>
        </w:rPr>
        <w:t xml:space="preserve"> End User Customers for all Miscellaneous Charges and surcharges required of CUSTOMER by statute, regulation or as otherwise required.</w:t>
      </w:r>
    </w:p>
    <w:p w14:paraId="6BD7A231" w14:textId="43C6140D" w:rsidR="004C72A1" w:rsidRDefault="004C72A1" w:rsidP="00C161D7">
      <w:pPr>
        <w:pStyle w:val="Indent2"/>
        <w:tabs>
          <w:tab w:val="clear" w:pos="2160"/>
        </w:tabs>
        <w:spacing w:after="120"/>
        <w:ind w:hanging="720"/>
        <w:rPr>
          <w:sz w:val="16"/>
        </w:rPr>
      </w:pPr>
      <w:bookmarkStart w:id="365" w:name="z19y23y4y4_ABCDEFGHIJKLMN12"/>
      <w:bookmarkEnd w:id="365"/>
      <w:r>
        <w:rPr>
          <w:sz w:val="16"/>
        </w:rPr>
        <w:t>3.</w:t>
      </w:r>
      <w:r w:rsidR="00022D4A">
        <w:rPr>
          <w:sz w:val="16"/>
        </w:rPr>
        <w:t>5</w:t>
      </w:r>
      <w:r>
        <w:rPr>
          <w:sz w:val="16"/>
        </w:rPr>
        <w:tab/>
      </w:r>
      <w:r w:rsidR="00587FBD">
        <w:rPr>
          <w:b/>
          <w:bCs/>
          <w:sz w:val="16"/>
        </w:rPr>
        <w:t xml:space="preserve">PICC.  </w:t>
      </w:r>
      <w:r>
        <w:rPr>
          <w:sz w:val="16"/>
        </w:rPr>
        <w:t xml:space="preserve">CUSTOMER will pay CenturyLink the PIC change charge associated with CUSTOMER End User Customer changes of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Carriers.  Any change in CUSTOMER's End User Customers'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 must be requested by CUSTOMER on behalf of its End User Customer. </w:t>
      </w:r>
    </w:p>
    <w:p w14:paraId="4A762005" w14:textId="3355DBF9" w:rsidR="004C72A1" w:rsidRDefault="004C72A1" w:rsidP="00C161D7">
      <w:pPr>
        <w:pStyle w:val="Indent2"/>
        <w:tabs>
          <w:tab w:val="clear" w:pos="2160"/>
        </w:tabs>
        <w:spacing w:after="120"/>
        <w:ind w:hanging="720"/>
        <w:rPr>
          <w:sz w:val="16"/>
        </w:rPr>
      </w:pPr>
      <w:bookmarkStart w:id="366" w:name="z19y23y4y5_ABCDEFGHIJKLMN12"/>
      <w:bookmarkEnd w:id="366"/>
      <w:r>
        <w:rPr>
          <w:sz w:val="16"/>
        </w:rPr>
        <w:t>3.</w:t>
      </w:r>
      <w:r w:rsidR="00022D4A">
        <w:rPr>
          <w:sz w:val="16"/>
        </w:rPr>
        <w:t>6</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2ED7A84C" w:rsidR="004C72A1" w:rsidRDefault="004C72A1" w:rsidP="00C161D7">
      <w:pPr>
        <w:pStyle w:val="Indent2"/>
        <w:tabs>
          <w:tab w:val="clear" w:pos="2160"/>
        </w:tabs>
        <w:spacing w:after="120"/>
        <w:rPr>
          <w:sz w:val="16"/>
        </w:rPr>
      </w:pPr>
      <w:r>
        <w:rPr>
          <w:sz w:val="16"/>
        </w:rPr>
        <w:t>3.</w:t>
      </w:r>
      <w:r w:rsidR="00022D4A">
        <w:rPr>
          <w:sz w:val="16"/>
        </w:rPr>
        <w:t>6</w:t>
      </w:r>
      <w:r>
        <w:rPr>
          <w:sz w:val="16"/>
        </w:rPr>
        <w:t>.1</w:t>
      </w:r>
      <w:r>
        <w:rPr>
          <w:sz w:val="16"/>
        </w:rPr>
        <w:tab/>
      </w:r>
      <w:r>
        <w:rPr>
          <w:b/>
          <w:sz w:val="16"/>
        </w:rPr>
        <w:t>Switched Access.</w:t>
      </w:r>
      <w:r>
        <w:rPr>
          <w:sz w:val="16"/>
        </w:rPr>
        <w:t xml:space="preserve">  For </w:t>
      </w:r>
      <w:r w:rsidR="00D106E3">
        <w:rPr>
          <w:sz w:val="16"/>
        </w:rPr>
        <w:t>WLV</w:t>
      </w:r>
      <w:r>
        <w:rPr>
          <w:sz w:val="16"/>
        </w:rPr>
        <w:t xml:space="preserve"> End User Customer(s), CenturyLink will not charge to or collect from the IXC usage based end office and loop Switched Access charges (such as Switched Access Local Switching, End Office Shared Port, Tandem Transmission and Carrier Common Line) for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Toll Calls originating or terminating from that </w:t>
      </w:r>
      <w:r w:rsidR="00D106E3">
        <w:rPr>
          <w:sz w:val="16"/>
        </w:rPr>
        <w:t>WLV</w:t>
      </w:r>
      <w:r>
        <w:rPr>
          <w:sz w:val="16"/>
        </w:rPr>
        <w:t xml:space="preserve"> End User Customer’s line to an IXC. </w:t>
      </w:r>
    </w:p>
    <w:p w14:paraId="014B26C6" w14:textId="5F10A415" w:rsidR="004C72A1" w:rsidRDefault="004C72A1" w:rsidP="00C161D7">
      <w:pPr>
        <w:pStyle w:val="Indent2"/>
        <w:tabs>
          <w:tab w:val="clear" w:pos="2160"/>
        </w:tabs>
        <w:spacing w:after="120"/>
        <w:rPr>
          <w:sz w:val="16"/>
        </w:rPr>
      </w:pPr>
      <w:r>
        <w:rPr>
          <w:sz w:val="16"/>
        </w:rPr>
        <w:t>3.</w:t>
      </w:r>
      <w:r w:rsidR="00022D4A">
        <w:rPr>
          <w:sz w:val="16"/>
        </w:rPr>
        <w:t>6</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w:t>
      </w:r>
      <w:proofErr w:type="spellStart"/>
      <w:r>
        <w:rPr>
          <w:sz w:val="16"/>
        </w:rPr>
        <w:t>interLATA</w:t>
      </w:r>
      <w:proofErr w:type="spellEnd"/>
      <w:r>
        <w:rPr>
          <w:sz w:val="16"/>
        </w:rPr>
        <w:t xml:space="preserve"> and </w:t>
      </w:r>
      <w:proofErr w:type="spellStart"/>
      <w:r w:rsidRPr="0060150A">
        <w:rPr>
          <w:sz w:val="16"/>
        </w:rPr>
        <w:t>intraLATA</w:t>
      </w:r>
      <w:proofErr w:type="spellEnd"/>
      <w:r w:rsidRPr="0060150A">
        <w:rPr>
          <w:sz w:val="16"/>
        </w:rPr>
        <w:t xml:space="preserve"> Toll Calls originated by or terminated to a </w:t>
      </w:r>
      <w:r w:rsidR="00D106E3">
        <w:rPr>
          <w:sz w:val="16"/>
        </w:rPr>
        <w:t>WLV</w:t>
      </w:r>
      <w:r w:rsidRPr="0060150A">
        <w:rPr>
          <w:sz w:val="16"/>
        </w:rPr>
        <w:t xml:space="preserve"> End User under the applicable Tariff.</w:t>
      </w:r>
    </w:p>
    <w:p w14:paraId="3B1B36D9" w14:textId="1A5A43D8" w:rsidR="004C72A1" w:rsidRDefault="004C72A1" w:rsidP="00C161D7">
      <w:pPr>
        <w:pStyle w:val="Indent2"/>
        <w:tabs>
          <w:tab w:val="clear" w:pos="2160"/>
        </w:tabs>
        <w:spacing w:after="120"/>
        <w:rPr>
          <w:sz w:val="16"/>
        </w:rPr>
      </w:pPr>
      <w:r>
        <w:rPr>
          <w:sz w:val="16"/>
        </w:rPr>
        <w:t>3.</w:t>
      </w:r>
      <w:r w:rsidR="00022D4A">
        <w:rPr>
          <w:sz w:val="16"/>
        </w:rPr>
        <w:t>6</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08073FC5" w:rsidR="004C72A1" w:rsidRPr="0060150A" w:rsidRDefault="00022D4A" w:rsidP="00C161D7">
      <w:pPr>
        <w:pStyle w:val="Indent2"/>
        <w:tabs>
          <w:tab w:val="clear" w:pos="2160"/>
        </w:tabs>
        <w:spacing w:after="120"/>
        <w:ind w:hanging="720"/>
        <w:rPr>
          <w:sz w:val="16"/>
        </w:rPr>
      </w:pPr>
      <w:r>
        <w:rPr>
          <w:b/>
          <w:sz w:val="16"/>
        </w:rPr>
        <w:t>3.7</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7E68A6B1" w:rsidR="004C72A1" w:rsidRDefault="00022D4A" w:rsidP="00C161D7">
      <w:pPr>
        <w:pStyle w:val="Indent2"/>
        <w:tabs>
          <w:tab w:val="clear" w:pos="2160"/>
        </w:tabs>
        <w:spacing w:after="120"/>
        <w:ind w:hanging="720"/>
        <w:rPr>
          <w:b/>
          <w:sz w:val="16"/>
          <w:szCs w:val="16"/>
        </w:rPr>
      </w:pPr>
      <w:r>
        <w:rPr>
          <w:b/>
          <w:sz w:val="16"/>
          <w:szCs w:val="16"/>
        </w:rPr>
        <w:t>3.8</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rights to charge IXCs for signaling as described in Section 1.4.2 of this Attachment.  </w:t>
      </w:r>
    </w:p>
    <w:p w14:paraId="272DA465" w14:textId="6740EB43" w:rsidR="004C72A1" w:rsidRDefault="00022D4A" w:rsidP="00C161D7">
      <w:pPr>
        <w:pStyle w:val="Indent2"/>
        <w:tabs>
          <w:tab w:val="clear" w:pos="2160"/>
        </w:tabs>
        <w:spacing w:after="120"/>
        <w:ind w:hanging="720"/>
        <w:rPr>
          <w:sz w:val="16"/>
          <w:szCs w:val="16"/>
        </w:rPr>
      </w:pPr>
      <w:r>
        <w:rPr>
          <w:b/>
          <w:sz w:val="16"/>
        </w:rPr>
        <w:t>3.9</w:t>
      </w:r>
      <w:r>
        <w:rPr>
          <w:b/>
          <w:sz w:val="16"/>
        </w:rPr>
        <w:tab/>
      </w:r>
      <w:r w:rsidR="004C72A1">
        <w:rPr>
          <w:b/>
          <w:sz w:val="16"/>
        </w:rPr>
        <w:t xml:space="preserve">Originating </w:t>
      </w:r>
      <w:proofErr w:type="spellStart"/>
      <w:r w:rsidR="004C72A1">
        <w:rPr>
          <w:b/>
          <w:sz w:val="16"/>
        </w:rPr>
        <w:t>IntraOffice</w:t>
      </w:r>
      <w:proofErr w:type="spellEnd"/>
      <w:r w:rsidR="004C72A1">
        <w:rPr>
          <w:b/>
          <w:sz w:val="16"/>
        </w:rPr>
        <w:t xml:space="preserve"> Local Calls</w:t>
      </w:r>
      <w:r w:rsidR="004C72A1">
        <w:rPr>
          <w:sz w:val="16"/>
        </w:rPr>
        <w:t xml:space="preserve"> - This originating Local Call requires switching by the local serving CenturyLink end office Switch only.  When this call type is originated by a </w:t>
      </w:r>
      <w:r w:rsidR="00D106E3">
        <w:rPr>
          <w:sz w:val="16"/>
        </w:rPr>
        <w:t>WLV</w:t>
      </w:r>
      <w:r w:rsidR="004C72A1">
        <w:rPr>
          <w:sz w:val="16"/>
        </w:rPr>
        <w:t xml:space="preserve"> End User, Local Switch Usage charges provided in the </w:t>
      </w:r>
      <w:r w:rsidR="00D106E3">
        <w:rPr>
          <w:sz w:val="16"/>
        </w:rPr>
        <w:t>WLV</w:t>
      </w:r>
      <w:r w:rsidR="004C72A1">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3453A6F6" w:rsidR="004C72A1" w:rsidRDefault="004C72A1" w:rsidP="00C161D7">
      <w:pPr>
        <w:pStyle w:val="Indent2"/>
        <w:tabs>
          <w:tab w:val="clear" w:pos="2160"/>
        </w:tabs>
        <w:spacing w:after="120"/>
        <w:ind w:hanging="720"/>
        <w:rPr>
          <w:rFonts w:cs="Arial"/>
          <w:sz w:val="16"/>
          <w:szCs w:val="16"/>
        </w:rPr>
      </w:pPr>
      <w:r>
        <w:rPr>
          <w:b/>
          <w:sz w:val="16"/>
        </w:rPr>
        <w:tab/>
      </w:r>
      <w:r w:rsidR="00022D4A">
        <w:rPr>
          <w:b/>
          <w:sz w:val="16"/>
        </w:rPr>
        <w:t>3.9.1</w:t>
      </w:r>
      <w:r w:rsidR="00022D4A">
        <w:rPr>
          <w:b/>
          <w:sz w:val="16"/>
        </w:rPr>
        <w:tab/>
      </w:r>
      <w:r>
        <w:rPr>
          <w:b/>
          <w:sz w:val="16"/>
        </w:rPr>
        <w:t xml:space="preserve">Originating </w:t>
      </w:r>
      <w:proofErr w:type="spellStart"/>
      <w:r>
        <w:rPr>
          <w:b/>
          <w:sz w:val="16"/>
        </w:rPr>
        <w:t>InterOffice</w:t>
      </w:r>
      <w:proofErr w:type="spellEnd"/>
      <w:r>
        <w:rPr>
          <w:b/>
          <w:sz w:val="16"/>
        </w:rPr>
        <w:t xml:space="preserve"> Local Calls.</w:t>
      </w:r>
      <w:r>
        <w:rPr>
          <w:sz w:val="16"/>
        </w:rPr>
        <w:t xml:space="preserve">  This originating Local Call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Pr>
          <w:sz w:val="16"/>
        </w:rPr>
        <w:t>.</w:t>
      </w:r>
    </w:p>
    <w:p w14:paraId="6A811B64" w14:textId="55B74BFD" w:rsidR="004C72A1" w:rsidRPr="00285BEB" w:rsidRDefault="004C72A1" w:rsidP="00C161D7">
      <w:pPr>
        <w:pStyle w:val="Indent2"/>
        <w:tabs>
          <w:tab w:val="clear" w:pos="2160"/>
        </w:tabs>
        <w:spacing w:after="120"/>
        <w:ind w:hanging="720"/>
        <w:rPr>
          <w:rFonts w:cs="Arial"/>
          <w:sz w:val="16"/>
          <w:szCs w:val="16"/>
        </w:rPr>
      </w:pPr>
      <w:r>
        <w:rPr>
          <w:b/>
          <w:sz w:val="16"/>
        </w:rPr>
        <w:lastRenderedPageBreak/>
        <w:tab/>
      </w:r>
      <w:r w:rsidR="00022D4A">
        <w:rPr>
          <w:b/>
          <w:sz w:val="16"/>
        </w:rPr>
        <w:t>3.9.2</w:t>
      </w:r>
      <w:r w:rsidR="00022D4A">
        <w:rPr>
          <w:b/>
          <w:sz w:val="16"/>
        </w:rPr>
        <w:tab/>
      </w:r>
      <w:r>
        <w:rPr>
          <w:b/>
          <w:sz w:val="16"/>
        </w:rPr>
        <w:t>Originating IXC Toll Calls.</w:t>
      </w:r>
      <w:r>
        <w:rPr>
          <w:sz w:val="16"/>
        </w:rPr>
        <w:t xml:space="preserve">  This originating Toll Call requires switching by the local serving CenturyLink end office.  If the </w:t>
      </w:r>
      <w:r w:rsidR="00D106E3">
        <w:rPr>
          <w:sz w:val="16"/>
        </w:rPr>
        <w:t>WLV</w:t>
      </w:r>
      <w:r>
        <w:rPr>
          <w:sz w:val="16"/>
        </w:rPr>
        <w:t xml:space="preserve"> End User’s selected IXC does not have direct trunking to the local serving CenturyLink end office, </w:t>
      </w:r>
      <w:r>
        <w:rPr>
          <w:rFonts w:cs="Arial"/>
          <w:sz w:val="16"/>
          <w:szCs w:val="16"/>
        </w:rPr>
        <w:t xml:space="preserve">Shared Transport is required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7761B8A6" w:rsidR="004C72A1" w:rsidRDefault="004C72A1" w:rsidP="00C161D7">
      <w:pPr>
        <w:pStyle w:val="Indent2"/>
        <w:tabs>
          <w:tab w:val="clear" w:pos="2160"/>
        </w:tabs>
        <w:spacing w:after="120"/>
        <w:ind w:hanging="720"/>
        <w:rPr>
          <w:rFonts w:cs="Arial"/>
          <w:sz w:val="16"/>
          <w:szCs w:val="16"/>
        </w:rPr>
      </w:pPr>
      <w:r>
        <w:rPr>
          <w:b/>
          <w:sz w:val="16"/>
        </w:rPr>
        <w:tab/>
      </w:r>
      <w:r w:rsidR="00022D4A">
        <w:rPr>
          <w:b/>
          <w:sz w:val="16"/>
        </w:rPr>
        <w:t>3.9.3</w:t>
      </w:r>
      <w:r w:rsidR="00022D4A">
        <w:rPr>
          <w:b/>
          <w:sz w:val="16"/>
        </w:rPr>
        <w:tab/>
      </w:r>
      <w:r>
        <w:rPr>
          <w:b/>
          <w:sz w:val="16"/>
        </w:rPr>
        <w:t xml:space="preserve">Terminating </w:t>
      </w:r>
      <w:proofErr w:type="spellStart"/>
      <w:r>
        <w:rPr>
          <w:b/>
          <w:sz w:val="16"/>
        </w:rPr>
        <w:t>IntraOffice</w:t>
      </w:r>
      <w:proofErr w:type="spellEnd"/>
      <w:r>
        <w:rPr>
          <w:b/>
          <w:sz w:val="16"/>
        </w:rPr>
        <w:t xml:space="preserve"> and </w:t>
      </w:r>
      <w:proofErr w:type="spellStart"/>
      <w:r>
        <w:rPr>
          <w:b/>
          <w:sz w:val="16"/>
        </w:rPr>
        <w:t>InterOffice</w:t>
      </w:r>
      <w:proofErr w:type="spellEnd"/>
      <w:r>
        <w:rPr>
          <w:b/>
          <w:sz w:val="16"/>
        </w:rPr>
        <w:t xml:space="preserve"> Local Calls.</w:t>
      </w:r>
      <w:r>
        <w:rPr>
          <w:sz w:val="16"/>
        </w:rPr>
        <w:t xml:space="preserve">  This terminating Local Call requires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For these call types that originate from an end user served by a Carrier, CenturyLink retains its rights to bill that Carrier certain Transit charges as described in Section 3.7 above.</w:t>
      </w:r>
    </w:p>
    <w:p w14:paraId="2C4F6823" w14:textId="0838FFE4" w:rsidR="004C72A1" w:rsidRPr="00285BEB" w:rsidRDefault="00022D4A" w:rsidP="00C161D7">
      <w:pPr>
        <w:pStyle w:val="Indent2"/>
        <w:tabs>
          <w:tab w:val="clear" w:pos="2160"/>
        </w:tabs>
        <w:spacing w:after="120"/>
        <w:rPr>
          <w:rFonts w:cs="Arial"/>
          <w:sz w:val="16"/>
          <w:szCs w:val="16"/>
        </w:rPr>
      </w:pPr>
      <w:r>
        <w:rPr>
          <w:b/>
          <w:sz w:val="16"/>
        </w:rPr>
        <w:t>3.9.4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4C72A1">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0DBD7D1C" w:rsidR="004C72A1" w:rsidRDefault="00022D4A" w:rsidP="00C161D7">
      <w:pPr>
        <w:pStyle w:val="Indent2"/>
        <w:tabs>
          <w:tab w:val="clear" w:pos="2160"/>
        </w:tabs>
        <w:spacing w:after="120"/>
        <w:rPr>
          <w:sz w:val="16"/>
        </w:rPr>
      </w:pPr>
      <w:r>
        <w:rPr>
          <w:b/>
          <w:sz w:val="16"/>
        </w:rPr>
        <w:t>3.9.5</w:t>
      </w:r>
      <w:r>
        <w:rPr>
          <w:b/>
          <w:sz w:val="16"/>
        </w:rPr>
        <w:tab/>
      </w:r>
      <w:r w:rsidR="004C72A1">
        <w:rPr>
          <w:b/>
          <w:sz w:val="16"/>
        </w:rPr>
        <w:t xml:space="preserve">Originating Toll Calls when QC is the </w:t>
      </w:r>
      <w:proofErr w:type="spellStart"/>
      <w:r w:rsidR="004C72A1">
        <w:rPr>
          <w:b/>
          <w:sz w:val="16"/>
        </w:rPr>
        <w:t>IntraLATA</w:t>
      </w:r>
      <w:proofErr w:type="spellEnd"/>
      <w:r w:rsidR="004C72A1">
        <w:rPr>
          <w:b/>
          <w:sz w:val="16"/>
        </w:rPr>
        <w:t xml:space="preserve"> Toll provider.</w:t>
      </w:r>
      <w:r w:rsidR="004C72A1">
        <w:rPr>
          <w:sz w:val="16"/>
        </w:rPr>
        <w:t xml:space="preserve">  </w:t>
      </w:r>
      <w:r w:rsidR="004C72A1">
        <w:rPr>
          <w:rFonts w:cs="Arial"/>
          <w:sz w:val="16"/>
          <w:szCs w:val="16"/>
        </w:rPr>
        <w:t>See Section 1.5.4 above.</w:t>
      </w:r>
      <w:bookmarkStart w:id="367" w:name="z09y23y4y6_ABCEFGHIJKLMN"/>
      <w:bookmarkStart w:id="368" w:name="z19y23y4y6_ABCEFGHIJKLMN12"/>
      <w:bookmarkEnd w:id="367"/>
      <w:bookmarkEnd w:id="368"/>
      <w:r>
        <w:rPr>
          <w:sz w:val="16"/>
        </w:rPr>
        <w:t xml:space="preserve">  </w:t>
      </w:r>
      <w:r w:rsidR="004C72A1">
        <w:rPr>
          <w:sz w:val="16"/>
        </w:rPr>
        <w:t xml:space="preserve">CenturyLink will have a reasonable amount of time to implement system or other changes necessary to bill CUSTOMER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6598CD26" w:rsidR="004C72A1" w:rsidRDefault="004C72A1" w:rsidP="00C161D7">
      <w:pPr>
        <w:pStyle w:val="Indent2"/>
        <w:tabs>
          <w:tab w:val="clear" w:pos="2160"/>
        </w:tabs>
        <w:spacing w:after="120"/>
        <w:ind w:hanging="720"/>
        <w:rPr>
          <w:sz w:val="16"/>
        </w:rPr>
      </w:pPr>
      <w:r>
        <w:rPr>
          <w:sz w:val="16"/>
        </w:rPr>
        <w:t>3.10</w:t>
      </w:r>
      <w:r>
        <w:rPr>
          <w:sz w:val="16"/>
        </w:rPr>
        <w:tab/>
      </w:r>
      <w:r w:rsidR="00D106E3">
        <w:rPr>
          <w:sz w:val="16"/>
        </w:rPr>
        <w:t>WLV</w:t>
      </w:r>
      <w:r>
        <w:rPr>
          <w:sz w:val="16"/>
        </w:rPr>
        <w:t xml:space="preserve"> Services have a one-month minimum service period requirement for each CUSTOMER End User Customer.  The one-month minimum service period is the period of time that CUSTOMER is required to pay 100% of the MRC for the Service even if CUSTOMER does not retain Service for the entire month.  </w:t>
      </w:r>
      <w:r w:rsidR="00D106E3">
        <w:rPr>
          <w:sz w:val="16"/>
        </w:rPr>
        <w:t>WLV</w:t>
      </w:r>
      <w:r>
        <w:rPr>
          <w:sz w:val="16"/>
        </w:rPr>
        <w:t xml:space="preserve"> Services are billed month to month and will after the one month minimum service period is satisfied be pro-rated for partial months based on the number of days Service was provided. </w:t>
      </w:r>
    </w:p>
    <w:p w14:paraId="4CC0C2C2" w14:textId="2D5A8BC1" w:rsidR="004C72A1" w:rsidRDefault="004C72A1" w:rsidP="00C161D7">
      <w:pPr>
        <w:pStyle w:val="Indent2"/>
        <w:tabs>
          <w:tab w:val="clear" w:pos="2160"/>
        </w:tabs>
        <w:spacing w:after="120"/>
        <w:ind w:hanging="720"/>
        <w:rPr>
          <w:sz w:val="16"/>
        </w:rPr>
      </w:pPr>
      <w:r>
        <w:rPr>
          <w:sz w:val="16"/>
        </w:rPr>
        <w:t>3.11</w:t>
      </w:r>
      <w:r>
        <w:rPr>
          <w:sz w:val="16"/>
        </w:rPr>
        <w:tab/>
        <w:t xml:space="preserve">The Subsequent Order Charge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F6FF38C" w:rsidR="00271CB7" w:rsidRDefault="00271CB7" w:rsidP="00C161D7">
      <w:pPr>
        <w:pStyle w:val="Indent2"/>
        <w:tabs>
          <w:tab w:val="clear" w:pos="2160"/>
        </w:tabs>
        <w:spacing w:after="120"/>
        <w:ind w:hanging="720"/>
        <w:rPr>
          <w:sz w:val="16"/>
        </w:rPr>
      </w:pPr>
      <w:r>
        <w:rPr>
          <w:sz w:val="16"/>
        </w:rPr>
        <w:t>3.12</w:t>
      </w:r>
      <w:r>
        <w:rPr>
          <w:sz w:val="16"/>
        </w:rPr>
        <w:tab/>
        <w:t>CenturyLink may change any of the rates under this Schedule upon thirty (30) calendar days advance written notice.</w:t>
      </w:r>
    </w:p>
    <w:p w14:paraId="19FC7BBF" w14:textId="77777777" w:rsidR="004C72A1" w:rsidRDefault="004C72A1" w:rsidP="00C161D7">
      <w:pPr>
        <w:pStyle w:val="Heading3"/>
        <w:spacing w:after="120"/>
      </w:pPr>
      <w:bookmarkStart w:id="369" w:name="z09y23y4y6_D"/>
      <w:bookmarkStart w:id="370" w:name="z09y23y5_ABCDEFGHIJKLMN12"/>
      <w:bookmarkEnd w:id="369"/>
      <w:bookmarkEnd w:id="370"/>
      <w:r>
        <w:t>4.0</w:t>
      </w:r>
      <w:r>
        <w:tab/>
        <w:t>Systems and Interfaces.</w:t>
      </w:r>
    </w:p>
    <w:p w14:paraId="06241E1D" w14:textId="3D81C9D0"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CUSTOMER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place">
        <w:smartTag w:uri="urn:schemas-microsoft-com:office:smarttags" w:element="City">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71" w:name="z19y23y5y1_ABCDEFGHIJKLMN12"/>
      <w:bookmarkEnd w:id="371"/>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72" w:name="z19y23y5y1y1_ABCDEFGHIJKLMN12"/>
      <w:bookmarkStart w:id="373" w:name="z19y23y5y1y2_ABCDEFGHIJKLMN12"/>
      <w:bookmarkStart w:id="374" w:name="z19y23y5y1y3_ABCDEFGHIJKLMN12"/>
      <w:bookmarkStart w:id="375" w:name="z19y23y5y1y4_ABCDEFGHIJKLMN12"/>
      <w:bookmarkStart w:id="376" w:name="z19y23y5y1y5_ABCDEFGHIJKLMN12"/>
      <w:bookmarkEnd w:id="372"/>
      <w:bookmarkEnd w:id="373"/>
      <w:bookmarkEnd w:id="374"/>
      <w:bookmarkEnd w:id="375"/>
      <w:bookmarkEnd w:id="376"/>
    </w:p>
    <w:p w14:paraId="56DF095C" w14:textId="77777777" w:rsidR="004C72A1" w:rsidRDefault="004C72A1" w:rsidP="00C161D7">
      <w:pPr>
        <w:pStyle w:val="Indent2"/>
        <w:tabs>
          <w:tab w:val="clear" w:pos="2160"/>
        </w:tabs>
        <w:spacing w:after="120"/>
        <w:ind w:hanging="720"/>
        <w:rPr>
          <w:b/>
          <w:sz w:val="16"/>
        </w:rPr>
      </w:pPr>
      <w:bookmarkStart w:id="377" w:name="z19y23y5y2_ABCDEFGHIJKLMN12"/>
      <w:bookmarkEnd w:id="377"/>
      <w:r>
        <w:rPr>
          <w:sz w:val="16"/>
        </w:rPr>
        <w:t>4.3</w:t>
      </w:r>
      <w:r>
        <w:rPr>
          <w:sz w:val="16"/>
        </w:rPr>
        <w:tab/>
        <w:t xml:space="preserve">Prior to placing an order on behalf of each End User Customer, CUSTOMER will be responsible for obtaining and will have in its possession a Proof of Authorization as set forth in the Agreement. </w:t>
      </w:r>
    </w:p>
    <w:p w14:paraId="4576E93C" w14:textId="77777777" w:rsidR="004C72A1" w:rsidRDefault="004C72A1" w:rsidP="00C161D7">
      <w:pPr>
        <w:pStyle w:val="Indent2"/>
        <w:tabs>
          <w:tab w:val="clear" w:pos="2160"/>
        </w:tabs>
        <w:spacing w:after="120"/>
        <w:ind w:hanging="720"/>
        <w:rPr>
          <w:sz w:val="16"/>
        </w:rPr>
      </w:pPr>
      <w:bookmarkStart w:id="378" w:name="z19y23y5y3_ABCDEFGHIJKLMN12"/>
      <w:bookmarkEnd w:id="378"/>
      <w:r>
        <w:rPr>
          <w:sz w:val="16"/>
        </w:rPr>
        <w:t>4.4</w:t>
      </w:r>
      <w:r>
        <w:rPr>
          <w:sz w:val="16"/>
        </w:rPr>
        <w:tab/>
      </w:r>
      <w:bookmarkStart w:id="379" w:name="z19y23y5y6_ABCDEFGHIJKLMN12"/>
      <w:bookmarkEnd w:id="379"/>
      <w:r>
        <w:rPr>
          <w:sz w:val="16"/>
        </w:rPr>
        <w:t xml:space="preserve">When CenturyLink or another provider of choice, at the End User Customer’s request, orders the discontinuance of the End User Customer’s existing service with CUSTOMER, CenturyLink will render its closing bill to CUSTOMER effective as of the disconnection.  CenturyLink will notify CUSTOMER by FAX, </w:t>
      </w:r>
      <w:smartTag w:uri="urn:schemas-microsoft-com:office:smarttags" w:element="place">
        <w:smartTag w:uri="urn:schemas-microsoft-com:office:smarttags" w:element="City">
          <w:r>
            <w:rPr>
              <w:sz w:val="16"/>
            </w:rPr>
            <w:t>OSS</w:t>
          </w:r>
        </w:smartTag>
      </w:smartTag>
      <w:r>
        <w:rPr>
          <w:sz w:val="16"/>
        </w:rPr>
        <w:t xml:space="preserve"> interface, or other agreed upon processes when an End User Customer moves to CenturyLink or another service provider.  CenturyLink will not provide CUSTOMER or CenturyLink retail personnel with the name of the other service provider selected by the End User Customer.</w:t>
      </w:r>
    </w:p>
    <w:p w14:paraId="7DDE8254" w14:textId="77777777" w:rsidR="004C72A1" w:rsidRDefault="004C72A1" w:rsidP="00C161D7">
      <w:pPr>
        <w:pStyle w:val="Indent2"/>
        <w:tabs>
          <w:tab w:val="clear" w:pos="2160"/>
        </w:tabs>
        <w:spacing w:after="120"/>
        <w:ind w:hanging="720"/>
        <w:rPr>
          <w:sz w:val="16"/>
        </w:rPr>
      </w:pPr>
      <w:bookmarkStart w:id="380" w:name="z19y23y5y7_ABCDEFGHIJKLMN12"/>
      <w:bookmarkEnd w:id="380"/>
      <w:r>
        <w:rPr>
          <w:sz w:val="16"/>
        </w:rPr>
        <w:t>4.5</w:t>
      </w:r>
      <w:r>
        <w:rPr>
          <w:sz w:val="16"/>
        </w:rPr>
        <w:tab/>
        <w:t>The Parties will provide each other with points of contact for order entry, problem resolution, repair, and in the event special attention is required on service request.</w:t>
      </w:r>
    </w:p>
    <w:p w14:paraId="5C3AC10E" w14:textId="39756640" w:rsidR="004C72A1" w:rsidRDefault="004C72A1" w:rsidP="00C161D7">
      <w:pPr>
        <w:pStyle w:val="Heading3"/>
        <w:keepNext w:val="0"/>
        <w:spacing w:after="120"/>
        <w:ind w:left="720" w:hanging="720"/>
      </w:pPr>
      <w:bookmarkStart w:id="381" w:name="z09y23y6_ABCDEFGHIJKLMN12"/>
      <w:bookmarkEnd w:id="381"/>
      <w:r>
        <w:t>5.0</w:t>
      </w:r>
      <w:r>
        <w:tab/>
      </w:r>
      <w:bookmarkStart w:id="382" w:name="z19y23y6y1_ABCDEFGHIJKLMN12"/>
      <w:bookmarkEnd w:id="382"/>
      <w:r>
        <w:rPr>
          <w:b w:val="0"/>
          <w:szCs w:val="16"/>
        </w:rPr>
        <w:t>CenturyLink will bill CUSTOMER, on a monthly basis, within seven to ten Days of the last day of the most recent Billing period, in an agreed upon standard electronic format.  Billing information will include a summary bill and individual End User Customer sub-account information.  If CUSTOMER needs additional or different billing information in order to properly bill its End Users or other Carriers (including CenturyLink), CenturyLink will work with CUSTOMER in good faith to deliver such information.</w:t>
      </w:r>
      <w:bookmarkStart w:id="383" w:name="z09y23y7_ABCDEFGHIJKLMN12"/>
      <w:bookmarkEnd w:id="383"/>
    </w:p>
    <w:p w14:paraId="550D2FB2" w14:textId="77777777" w:rsidR="004C72A1" w:rsidRDefault="004C72A1" w:rsidP="00C161D7">
      <w:pPr>
        <w:pStyle w:val="Heading3"/>
        <w:keepNext w:val="0"/>
        <w:spacing w:after="120"/>
        <w:ind w:left="720" w:hanging="720"/>
      </w:pPr>
      <w:r>
        <w:t>6.0</w:t>
      </w:r>
      <w:r>
        <w:tab/>
        <w:t>Maintenance and Repair.</w:t>
      </w:r>
    </w:p>
    <w:p w14:paraId="75EB91EF" w14:textId="14E326D7" w:rsidR="004C72A1" w:rsidRDefault="004C72A1" w:rsidP="00C161D7">
      <w:pPr>
        <w:pStyle w:val="indent1"/>
        <w:widowControl/>
        <w:tabs>
          <w:tab w:val="clear" w:pos="1354"/>
        </w:tabs>
        <w:spacing w:before="0"/>
        <w:ind w:left="720" w:hanging="720"/>
        <w:rPr>
          <w:sz w:val="16"/>
        </w:rPr>
      </w:pPr>
      <w:bookmarkStart w:id="384" w:name="z19y23y7y1_ABCDEFGHIJKLMN12"/>
      <w:bookmarkEnd w:id="384"/>
      <w:r>
        <w:rPr>
          <w:sz w:val="16"/>
        </w:rPr>
        <w:t>6.1</w:t>
      </w:r>
      <w:r>
        <w:rPr>
          <w:sz w:val="16"/>
        </w:rPr>
        <w:tab/>
        <w:t xml:space="preserve">CenturyLink will maintain facilities and equipment that comprise the </w:t>
      </w:r>
      <w:r w:rsidR="00D106E3">
        <w:rPr>
          <w:sz w:val="16"/>
        </w:rPr>
        <w:t>WLV</w:t>
      </w:r>
      <w:r>
        <w:rPr>
          <w:sz w:val="16"/>
        </w:rPr>
        <w:t xml:space="preserve"> Service provided to CUSTOMER.  CUSTOMER or its End User Customers may not rearrange, move, disconnect or attempt to repair CenturyLink facilities or equipment, other than by connection or disconnection to any interface between CenturyLink and the End User Customer, without the written consent of CenturyLink.</w:t>
      </w:r>
    </w:p>
    <w:p w14:paraId="694A6898" w14:textId="155CD704"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Services on its facilities, including those facilities supporting </w:t>
      </w:r>
      <w:r w:rsidR="00D106E3">
        <w:rPr>
          <w:sz w:val="16"/>
        </w:rPr>
        <w:t>WLV</w:t>
      </w:r>
      <w:r>
        <w:rPr>
          <w:sz w:val="16"/>
        </w:rPr>
        <w:t xml:space="preserve"> Services purchased by CUSTOMER.  CenturyLink will repair and restore any equipment or any other maintainable component that adversely impacts CUSTOMER’s use of </w:t>
      </w:r>
      <w:r w:rsidR="00D106E3">
        <w:rPr>
          <w:sz w:val="16"/>
        </w:rPr>
        <w:t>WLV</w:t>
      </w:r>
      <w:r>
        <w:rPr>
          <w:sz w:val="16"/>
        </w:rPr>
        <w:t xml:space="preserve"> Service.  CenturyLink and CUSTOMER will cooperate with each other to implement procedures and processes for handling service-affecting events.  There will be no charge for the Services provided under this Section 6, except as set forth in the Rate Sheet.</w:t>
      </w:r>
    </w:p>
    <w:p w14:paraId="77EE3E82" w14:textId="77777777" w:rsidR="004C72A1" w:rsidRDefault="004C72A1" w:rsidP="00C161D7">
      <w:pPr>
        <w:pStyle w:val="BalloonText"/>
        <w:spacing w:after="120"/>
        <w:ind w:left="720" w:hanging="720"/>
        <w:jc w:val="both"/>
        <w:rPr>
          <w:rFonts w:ascii="Arial" w:hAnsi="Arial"/>
          <w:b/>
        </w:rPr>
      </w:pPr>
      <w:r>
        <w:rPr>
          <w:rFonts w:ascii="Arial" w:hAnsi="Arial"/>
          <w:b/>
        </w:rPr>
        <w:t>7.0</w:t>
      </w:r>
      <w:r>
        <w:rPr>
          <w:rFonts w:ascii="Arial" w:hAnsi="Arial"/>
          <w:b/>
        </w:rPr>
        <w:tab/>
      </w:r>
      <w:r w:rsidRPr="00CD685D">
        <w:rPr>
          <w:rFonts w:ascii="Arial" w:hAnsi="Arial" w:cs="Arial"/>
          <w:b/>
        </w:rPr>
        <w:t xml:space="preserve"> </w:t>
      </w:r>
      <w:r w:rsidRPr="00097EE6">
        <w:rPr>
          <w:rFonts w:ascii="Arial" w:hAnsi="Arial" w:cs="Arial"/>
          <w:b/>
        </w:rPr>
        <w:t>Commercial Performance and Service Credits</w:t>
      </w:r>
      <w:r>
        <w:rPr>
          <w:rFonts w:ascii="Arial" w:hAnsi="Arial"/>
          <w:b/>
        </w:rPr>
        <w:t>.</w:t>
      </w:r>
    </w:p>
    <w:p w14:paraId="16D5B829" w14:textId="6D664B2E" w:rsidR="004C72A1" w:rsidRDefault="004C72A1" w:rsidP="00C161D7">
      <w:pPr>
        <w:pStyle w:val="BalloonText"/>
        <w:spacing w:after="120"/>
        <w:ind w:left="720" w:hanging="720"/>
        <w:jc w:val="both"/>
        <w:rPr>
          <w:rFonts w:ascii="Arial" w:hAnsi="Arial"/>
        </w:rPr>
      </w:pPr>
      <w:r>
        <w:rPr>
          <w:rFonts w:ascii="Arial" w:hAnsi="Arial"/>
        </w:rPr>
        <w:t>7.1</w:t>
      </w:r>
      <w:r>
        <w:rPr>
          <w:rFonts w:ascii="Arial" w:hAnsi="Arial"/>
          <w:b/>
        </w:rPr>
        <w:tab/>
      </w:r>
      <w:r>
        <w:rPr>
          <w:rFonts w:ascii="Arial" w:hAnsi="Arial"/>
        </w:rPr>
        <w:t xml:space="preserve">Each Party will provide suitably qualified personnel to perform its obligations under the Agreement and all </w:t>
      </w:r>
      <w:r w:rsidR="00D106E3">
        <w:rPr>
          <w:rFonts w:ascii="Arial" w:hAnsi="Arial"/>
        </w:rPr>
        <w:t>WLV</w:t>
      </w:r>
      <w:r>
        <w:rPr>
          <w:rFonts w:ascii="Arial" w:hAnsi="Arial"/>
        </w:rPr>
        <w:t xml:space="preserve"> Services in a timely and efficient manner with diligence and care, consistent with the professional standards of practice in the industry, and in conformance with Applicable Law.  The </w:t>
      </w:r>
      <w:r w:rsidR="00D106E3">
        <w:rPr>
          <w:rFonts w:ascii="Arial" w:hAnsi="Arial"/>
        </w:rPr>
        <w:t>WLV</w:t>
      </w:r>
      <w:r>
        <w:rPr>
          <w:rFonts w:ascii="Arial" w:hAnsi="Arial"/>
        </w:rPr>
        <w:t xml:space="preserve"> Service attributes and process enhancements are not subject to the Change Management Process (“CMP”).  CUSTOMER proposed changes to </w:t>
      </w:r>
      <w:r w:rsidR="00D106E3">
        <w:rPr>
          <w:rFonts w:ascii="Arial" w:hAnsi="Arial"/>
        </w:rPr>
        <w:t>WLV</w:t>
      </w:r>
      <w:r>
        <w:rPr>
          <w:rFonts w:ascii="Arial" w:hAnsi="Arial"/>
        </w:rPr>
        <w:t xml:space="preserve"> Service attributes and process enhancements will be communicated through the standard account interfaces.  Change requests common to shared systems and processes subject to CMP will continue to be addressed via the CMP procedures.  </w:t>
      </w:r>
    </w:p>
    <w:p w14:paraId="3DA0078D" w14:textId="77777777" w:rsidR="004C72A1" w:rsidRDefault="004C72A1" w:rsidP="00C161D7">
      <w:pPr>
        <w:pStyle w:val="BalloonText"/>
        <w:spacing w:after="120"/>
        <w:ind w:left="720" w:hanging="720"/>
        <w:jc w:val="both"/>
      </w:pPr>
      <w:r>
        <w:rPr>
          <w:rFonts w:ascii="Arial" w:hAnsi="Arial"/>
        </w:rPr>
        <w:t>7.2</w:t>
      </w:r>
      <w:r>
        <w:rPr>
          <w:rFonts w:ascii="Arial" w:hAnsi="Arial"/>
        </w:rPr>
        <w:tab/>
        <w:t xml:space="preserve">CUSTOMER will be entitled to service credits only for each instance of a </w:t>
      </w:r>
      <w:r w:rsidRPr="00D12C5E">
        <w:rPr>
          <w:rFonts w:ascii="Arial" w:hAnsi="Arial"/>
        </w:rPr>
        <w:t>missed installation commitment</w:t>
      </w:r>
      <w:r>
        <w:rPr>
          <w:rFonts w:ascii="Arial" w:hAnsi="Arial"/>
        </w:rPr>
        <w:t xml:space="preserve"> and each instance of an out of service condition that is not cleared within 24 hours.  All service credits will be applied automatically by CenturyLink as credit against CUSTOMER’s bill for the billing </w:t>
      </w:r>
      <w:r>
        <w:rPr>
          <w:rFonts w:ascii="Arial" w:hAnsi="Arial"/>
        </w:rPr>
        <w:lastRenderedPageBreak/>
        <w:t xml:space="preserve">period following the one in which the credits were accrued.  Credits for Services </w:t>
      </w:r>
      <w:r>
        <w:rPr>
          <w:rFonts w:ascii="Arial" w:hAnsi="Arial" w:cs="Arial"/>
        </w:rPr>
        <w:t xml:space="preserve">provided under the Agreement will be applied for activity beginning the first full month after </w:t>
      </w:r>
      <w:r w:rsidRPr="00D12C5E">
        <w:rPr>
          <w:rFonts w:ascii="Arial" w:hAnsi="Arial" w:cs="Arial"/>
        </w:rPr>
        <w:t>the Effective Date.</w:t>
      </w:r>
    </w:p>
    <w:p w14:paraId="4390B8F1" w14:textId="77777777" w:rsidR="004C72A1" w:rsidRDefault="004C72A1" w:rsidP="00C161D7">
      <w:pPr>
        <w:pStyle w:val="BalloonText"/>
        <w:tabs>
          <w:tab w:val="left" w:pos="1800"/>
        </w:tabs>
        <w:spacing w:after="120"/>
        <w:ind w:left="1080"/>
        <w:jc w:val="both"/>
        <w:rPr>
          <w:rFonts w:ascii="Arial" w:hAnsi="Arial"/>
        </w:rPr>
      </w:pPr>
      <w:r>
        <w:rPr>
          <w:rFonts w:ascii="Arial" w:hAnsi="Arial"/>
        </w:rPr>
        <w:t>7.2.1</w:t>
      </w:r>
      <w:r>
        <w:rPr>
          <w:rFonts w:ascii="Arial" w:hAnsi="Arial"/>
        </w:rPr>
        <w:tab/>
        <w:t xml:space="preserve">Installation Commitments Met.  For each installation commitment that CenturyLink, through its own fault, fails to meet, CenturyLink will provide a service credit equal to 100% of the nonrecurring charge for that installation.  CenturyLink will use the state installation nonrecurring charge contained in the Agreement for that order type in calculating the credit.  </w:t>
      </w:r>
    </w:p>
    <w:p w14:paraId="3451CC8E" w14:textId="71A86EE4" w:rsidR="004C72A1" w:rsidRDefault="004C72A1" w:rsidP="003D17E9">
      <w:pPr>
        <w:pStyle w:val="BalloonText"/>
        <w:tabs>
          <w:tab w:val="left" w:pos="1800"/>
        </w:tabs>
        <w:spacing w:after="120"/>
        <w:ind w:left="1080"/>
        <w:jc w:val="both"/>
      </w:pPr>
      <w:r>
        <w:rPr>
          <w:rFonts w:ascii="Arial" w:hAnsi="Arial"/>
        </w:rPr>
        <w:t>7.2.2</w:t>
      </w:r>
      <w:r>
        <w:rPr>
          <w:rFonts w:ascii="Arial" w:hAnsi="Arial"/>
        </w:rPr>
        <w:tab/>
        <w:t xml:space="preserve">Out of Service Cleared within 24 Hours.  For each out-of-service condition that CenturyLink, through its own fault, fails to resolve within 24 hours, CenturyLink will provide a service credit equal to one day’s recurring charge (monthly recurring charge divided by 30) for each day out of service beyond the first 24 hours. (For example, if the out-of-service condition exists for 25 to 47 hours, CUSTOMER will be entitled to a credit equal to the monthly recurring charge divided by 30.  If the out-of-service condition existed for 48 to 71 hours, the credit would equal two times the monthly recurring charge divided by 30). </w:t>
      </w:r>
    </w:p>
    <w:p w14:paraId="41212BBE" w14:textId="77777777" w:rsidR="004C72A1" w:rsidRDefault="004C72A1" w:rsidP="004C72A1">
      <w:pPr>
        <w:pStyle w:val="BalloonText"/>
        <w:jc w:val="both"/>
        <w:rPr>
          <w:rFonts w:ascii="Arial" w:hAnsi="Arial" w:cs="Arial"/>
        </w:rPr>
      </w:pPr>
    </w:p>
    <w:p w14:paraId="7C2549F0" w14:textId="15398929" w:rsidR="00AA35C5" w:rsidRDefault="00AA35C5">
      <w:r>
        <w:br w:type="page"/>
      </w:r>
    </w:p>
    <w:p w14:paraId="342C719D" w14:textId="77777777" w:rsidR="00F85304" w:rsidRPr="0080038F" w:rsidRDefault="00F85304" w:rsidP="00F85304">
      <w:pPr>
        <w:tabs>
          <w:tab w:val="left" w:pos="2355"/>
        </w:tabs>
        <w:jc w:val="center"/>
        <w:rPr>
          <w:rFonts w:ascii="Arial" w:hAnsi="Arial" w:cs="Arial"/>
          <w:b/>
          <w:sz w:val="22"/>
          <w:szCs w:val="22"/>
        </w:rPr>
      </w:pPr>
      <w:r w:rsidRPr="0080038F">
        <w:rPr>
          <w:rFonts w:ascii="Arial" w:hAnsi="Arial" w:cs="Arial"/>
          <w:b/>
          <w:sz w:val="22"/>
          <w:szCs w:val="22"/>
        </w:rPr>
        <w:lastRenderedPageBreak/>
        <w:t>Exhibit 1</w:t>
      </w:r>
    </w:p>
    <w:p w14:paraId="280F51DB" w14:textId="77777777" w:rsidR="00F85304" w:rsidRPr="0080038F" w:rsidRDefault="00F85304" w:rsidP="00F85304">
      <w:pPr>
        <w:tabs>
          <w:tab w:val="left" w:pos="2355"/>
        </w:tabs>
        <w:jc w:val="center"/>
        <w:rPr>
          <w:rFonts w:ascii="Arial" w:hAnsi="Arial" w:cs="Arial"/>
          <w:b/>
          <w:sz w:val="22"/>
          <w:szCs w:val="22"/>
        </w:rPr>
      </w:pPr>
      <w:r w:rsidRPr="0080038F">
        <w:rPr>
          <w:rFonts w:ascii="Arial" w:hAnsi="Arial" w:cs="Arial"/>
          <w:b/>
          <w:sz w:val="22"/>
          <w:szCs w:val="22"/>
        </w:rPr>
        <w:t>Legacy CenturyLink Legal Entity List</w:t>
      </w:r>
    </w:p>
    <w:p w14:paraId="6EC4036A" w14:textId="77777777" w:rsidR="00F85304" w:rsidRPr="0080038F" w:rsidRDefault="00F85304" w:rsidP="00F85304">
      <w:pPr>
        <w:rPr>
          <w:rFonts w:ascii="Arial" w:hAnsi="Arial" w:cs="Arial"/>
          <w:sz w:val="22"/>
          <w:szCs w:val="22"/>
        </w:rPr>
      </w:pPr>
    </w:p>
    <w:tbl>
      <w:tblPr>
        <w:tblW w:w="7711" w:type="dxa"/>
        <w:tblInd w:w="654" w:type="dxa"/>
        <w:tblLook w:val="04A0" w:firstRow="1" w:lastRow="0" w:firstColumn="1" w:lastColumn="0" w:noHBand="0" w:noVBand="1"/>
      </w:tblPr>
      <w:tblGrid>
        <w:gridCol w:w="7711"/>
      </w:tblGrid>
      <w:tr w:rsidR="00F85304" w:rsidRPr="0080038F" w14:paraId="28E531BA" w14:textId="77777777" w:rsidTr="00950BB2">
        <w:trPr>
          <w:trHeight w:val="450"/>
        </w:trPr>
        <w:tc>
          <w:tcPr>
            <w:tcW w:w="7711" w:type="dxa"/>
            <w:tcBorders>
              <w:top w:val="single" w:sz="4" w:space="0" w:color="auto"/>
              <w:left w:val="single" w:sz="4" w:space="0" w:color="auto"/>
              <w:bottom w:val="single" w:sz="4" w:space="0" w:color="auto"/>
              <w:right w:val="single" w:sz="4" w:space="0" w:color="auto"/>
            </w:tcBorders>
            <w:shd w:val="clear" w:color="000000" w:fill="CCFFCC"/>
            <w:hideMark/>
          </w:tcPr>
          <w:p w14:paraId="70C3F6EF" w14:textId="77777777" w:rsidR="00F85304" w:rsidRPr="0080038F" w:rsidRDefault="00F85304" w:rsidP="00950BB2">
            <w:pPr>
              <w:jc w:val="center"/>
              <w:rPr>
                <w:rFonts w:ascii="Arial" w:hAnsi="Arial" w:cs="Arial"/>
                <w:b/>
                <w:bCs/>
                <w:color w:val="000000"/>
                <w:sz w:val="22"/>
                <w:szCs w:val="22"/>
              </w:rPr>
            </w:pPr>
            <w:r w:rsidRPr="0080038F">
              <w:rPr>
                <w:rFonts w:ascii="Arial" w:hAnsi="Arial" w:cs="Arial"/>
                <w:b/>
                <w:bCs/>
                <w:color w:val="000000"/>
                <w:sz w:val="22"/>
                <w:szCs w:val="22"/>
              </w:rPr>
              <w:t xml:space="preserve">CenturyLink Legal Entity Names - ENTITY LIST (By State)                                                                   </w:t>
            </w:r>
          </w:p>
        </w:tc>
      </w:tr>
      <w:tr w:rsidR="00F85304" w:rsidRPr="0080038F" w14:paraId="60A1684E"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7BB16CA1"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ARIZONA</w:t>
            </w:r>
          </w:p>
        </w:tc>
      </w:tr>
      <w:tr w:rsidR="00F85304" w:rsidRPr="0080038F" w14:paraId="37ABDDA4"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2B2B5014"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00F738CE"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5762B644"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COLORADO</w:t>
            </w:r>
          </w:p>
        </w:tc>
      </w:tr>
      <w:tr w:rsidR="00F85304" w:rsidRPr="0080038F" w14:paraId="0136C34A"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274AF21B"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El Paso County Telephone Company d/b/a CenturyLink</w:t>
            </w:r>
          </w:p>
        </w:tc>
      </w:tr>
      <w:tr w:rsidR="00F85304" w:rsidRPr="0080038F" w14:paraId="5A5C2066"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2CEEA5D1"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Qwest Corporation d/b/a CenturyLink QC</w:t>
            </w:r>
          </w:p>
        </w:tc>
      </w:tr>
      <w:tr w:rsidR="00F85304" w:rsidRPr="0080038F" w14:paraId="79B0229B"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1B53D21B"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FLORIDA</w:t>
            </w:r>
          </w:p>
        </w:tc>
      </w:tr>
      <w:tr w:rsidR="00F85304" w:rsidRPr="00FA37E7" w14:paraId="4B558B3C"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52C9B7A" w14:textId="77777777" w:rsidR="00F85304" w:rsidRPr="0080038F" w:rsidRDefault="00F85304" w:rsidP="00950BB2">
            <w:pPr>
              <w:rPr>
                <w:rFonts w:ascii="Arial" w:hAnsi="Arial" w:cs="Arial"/>
                <w:b/>
                <w:bCs/>
                <w:color w:val="000000"/>
                <w:sz w:val="22"/>
                <w:szCs w:val="22"/>
                <w:lang w:val="pt-BR"/>
              </w:rPr>
            </w:pPr>
            <w:proofErr w:type="spellStart"/>
            <w:r w:rsidRPr="0080038F">
              <w:rPr>
                <w:rFonts w:ascii="Arial" w:hAnsi="Arial" w:cs="Arial"/>
                <w:color w:val="000000"/>
                <w:sz w:val="22"/>
                <w:szCs w:val="22"/>
                <w:lang w:val="pt-BR"/>
              </w:rPr>
              <w:t>Embarq</w:t>
            </w:r>
            <w:proofErr w:type="spellEnd"/>
            <w:r w:rsidRPr="0080038F">
              <w:rPr>
                <w:rFonts w:ascii="Arial" w:hAnsi="Arial" w:cs="Arial"/>
                <w:color w:val="000000"/>
                <w:sz w:val="22"/>
                <w:szCs w:val="22"/>
                <w:lang w:val="pt-BR"/>
              </w:rPr>
              <w:t xml:space="preserve"> Florida, Inc. d/b/a CenturyLink</w:t>
            </w:r>
          </w:p>
        </w:tc>
      </w:tr>
      <w:tr w:rsidR="00F85304" w:rsidRPr="0080038F" w14:paraId="32C77CE3" w14:textId="77777777" w:rsidTr="00950BB2">
        <w:trPr>
          <w:trHeight w:val="240"/>
        </w:trPr>
        <w:tc>
          <w:tcPr>
            <w:tcW w:w="7711" w:type="dxa"/>
            <w:tcBorders>
              <w:top w:val="nil"/>
              <w:left w:val="single" w:sz="4" w:space="0" w:color="auto"/>
              <w:bottom w:val="single" w:sz="4" w:space="0" w:color="auto"/>
              <w:right w:val="single" w:sz="4" w:space="0" w:color="auto"/>
            </w:tcBorders>
            <w:shd w:val="clear" w:color="000000" w:fill="DDDDDD"/>
            <w:noWrap/>
            <w:hideMark/>
          </w:tcPr>
          <w:p w14:paraId="2BCB56A3"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IDAHO</w:t>
            </w:r>
          </w:p>
        </w:tc>
      </w:tr>
      <w:tr w:rsidR="00F85304" w:rsidRPr="0080038F" w14:paraId="192E44C9"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2A0EE9DB"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Qwest Corporation d/b/a CenturyLink QC</w:t>
            </w:r>
          </w:p>
        </w:tc>
      </w:tr>
      <w:tr w:rsidR="00F85304" w:rsidRPr="0080038F" w14:paraId="0204DDE9"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1F119EC6"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INDIANA</w:t>
            </w:r>
          </w:p>
        </w:tc>
      </w:tr>
      <w:tr w:rsidR="00F85304" w:rsidRPr="0080038F" w14:paraId="1DDA95C8"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0FC1EE2B"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Indiana, Inc. d/b/a CenturyLink</w:t>
            </w:r>
          </w:p>
        </w:tc>
      </w:tr>
      <w:tr w:rsidR="00F85304" w:rsidRPr="0080038F" w14:paraId="4D8BE290"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65B0DFF0"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IOWA</w:t>
            </w:r>
          </w:p>
        </w:tc>
      </w:tr>
      <w:tr w:rsidR="00F85304" w:rsidRPr="0080038F" w14:paraId="59BC7028"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0A7F8921"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Embarq Missouri, Inc. d/b/a CenturyLink</w:t>
            </w:r>
          </w:p>
        </w:tc>
      </w:tr>
      <w:tr w:rsidR="00F85304" w:rsidRPr="0080038F" w14:paraId="640E6EFF" w14:textId="77777777" w:rsidTr="00950BB2">
        <w:trPr>
          <w:trHeight w:val="240"/>
        </w:trPr>
        <w:tc>
          <w:tcPr>
            <w:tcW w:w="7711" w:type="dxa"/>
            <w:tcBorders>
              <w:top w:val="nil"/>
              <w:left w:val="single" w:sz="4" w:space="0" w:color="auto"/>
              <w:bottom w:val="single" w:sz="4" w:space="0" w:color="auto"/>
              <w:right w:val="single" w:sz="4" w:space="0" w:color="auto"/>
            </w:tcBorders>
            <w:shd w:val="clear" w:color="auto" w:fill="auto"/>
            <w:noWrap/>
            <w:hideMark/>
          </w:tcPr>
          <w:p w14:paraId="2D279F13"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5C1D0AE4"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18C51756"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KANSAS</w:t>
            </w:r>
            <w:r w:rsidRPr="0080038F">
              <w:rPr>
                <w:rFonts w:ascii="Arial" w:hAnsi="Arial" w:cs="Arial"/>
                <w:color w:val="000000"/>
                <w:sz w:val="22"/>
                <w:szCs w:val="22"/>
              </w:rPr>
              <w:t xml:space="preserve">  </w:t>
            </w:r>
          </w:p>
        </w:tc>
      </w:tr>
      <w:tr w:rsidR="00F85304" w:rsidRPr="0080038F" w14:paraId="33B6299B"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137C60F"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Embarq Missouri, Inc. d/b/a CenturyLink</w:t>
            </w:r>
          </w:p>
        </w:tc>
      </w:tr>
      <w:tr w:rsidR="00F85304" w:rsidRPr="0080038F" w14:paraId="7F5159E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E66F852"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Kansas d/b/a CenturyLink</w:t>
            </w:r>
          </w:p>
        </w:tc>
      </w:tr>
      <w:tr w:rsidR="00F85304" w:rsidRPr="0080038F" w14:paraId="6EE3370E" w14:textId="77777777" w:rsidTr="00950BB2">
        <w:trPr>
          <w:trHeight w:val="255"/>
        </w:trPr>
        <w:tc>
          <w:tcPr>
            <w:tcW w:w="7711" w:type="dxa"/>
            <w:tcBorders>
              <w:top w:val="nil"/>
              <w:left w:val="single" w:sz="4" w:space="0" w:color="auto"/>
              <w:bottom w:val="single" w:sz="4" w:space="0" w:color="auto"/>
              <w:right w:val="single" w:sz="4" w:space="0" w:color="auto"/>
            </w:tcBorders>
            <w:shd w:val="clear" w:color="auto" w:fill="auto"/>
            <w:noWrap/>
            <w:hideMark/>
          </w:tcPr>
          <w:p w14:paraId="6EF2ACFC"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Southcentral Kansas d/b/a CenturyLink</w:t>
            </w:r>
          </w:p>
        </w:tc>
      </w:tr>
      <w:tr w:rsidR="00F85304" w:rsidRPr="0080038F" w14:paraId="04AD3F42"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1DC40980"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United Telephone Company of Eastern Kansas d/b/a CenturyLink</w:t>
            </w:r>
          </w:p>
        </w:tc>
      </w:tr>
      <w:tr w:rsidR="00F85304" w:rsidRPr="0080038F" w14:paraId="5F32BDBC"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05606C98"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MINNESOTA</w:t>
            </w:r>
          </w:p>
        </w:tc>
      </w:tr>
      <w:tr w:rsidR="00F85304" w:rsidRPr="00FA37E7" w14:paraId="4C304A5B"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38A5D02E" w14:textId="77777777" w:rsidR="00F85304" w:rsidRPr="0080038F" w:rsidRDefault="00F85304" w:rsidP="00950BB2">
            <w:pPr>
              <w:rPr>
                <w:rFonts w:ascii="Arial" w:hAnsi="Arial" w:cs="Arial"/>
                <w:color w:val="000000"/>
                <w:sz w:val="22"/>
                <w:szCs w:val="22"/>
                <w:lang w:val="pt-BR"/>
              </w:rPr>
            </w:pPr>
            <w:proofErr w:type="spellStart"/>
            <w:r w:rsidRPr="0080038F">
              <w:rPr>
                <w:rFonts w:ascii="Arial" w:hAnsi="Arial" w:cs="Arial"/>
                <w:color w:val="000000"/>
                <w:sz w:val="22"/>
                <w:szCs w:val="22"/>
                <w:lang w:val="pt-BR"/>
              </w:rPr>
              <w:t>Embarq</w:t>
            </w:r>
            <w:proofErr w:type="spellEnd"/>
            <w:r w:rsidRPr="0080038F">
              <w:rPr>
                <w:rFonts w:ascii="Arial" w:hAnsi="Arial" w:cs="Arial"/>
                <w:color w:val="000000"/>
                <w:sz w:val="22"/>
                <w:szCs w:val="22"/>
                <w:lang w:val="pt-BR"/>
              </w:rPr>
              <w:t xml:space="preserve"> Minnesota, Inc. d/b/a CenturyLink</w:t>
            </w:r>
          </w:p>
        </w:tc>
      </w:tr>
      <w:tr w:rsidR="00F85304" w:rsidRPr="0080038F" w14:paraId="0E8C28B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3A15022"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Qwest Corporation d/b/a CenturyLink QC</w:t>
            </w:r>
          </w:p>
        </w:tc>
      </w:tr>
      <w:tr w:rsidR="00F85304" w:rsidRPr="0080038F" w14:paraId="2052EE05"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32026113"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MISSOURI</w:t>
            </w:r>
          </w:p>
        </w:tc>
      </w:tr>
      <w:tr w:rsidR="00F85304" w:rsidRPr="0080038F" w14:paraId="1E608B92"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288200AC"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Embarq Missouri, Inc. d/b/a CenturyLink</w:t>
            </w:r>
          </w:p>
        </w:tc>
      </w:tr>
      <w:tr w:rsidR="00F85304" w:rsidRPr="0080038F" w14:paraId="70CC2153"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78D725A5"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MONTANA</w:t>
            </w:r>
          </w:p>
        </w:tc>
      </w:tr>
      <w:tr w:rsidR="00F85304" w:rsidRPr="0080038F" w14:paraId="1D8F8E53"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2276D0E"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55779F75"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2753D0A2"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NEBRASKA</w:t>
            </w:r>
          </w:p>
        </w:tc>
      </w:tr>
      <w:tr w:rsidR="00F85304" w:rsidRPr="0080038F" w14:paraId="040CD1FF"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92D25B7"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21414756"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vAlign w:val="bottom"/>
            <w:hideMark/>
          </w:tcPr>
          <w:p w14:paraId="7AE0E86B"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United Telephone Company of the West d/b/a CenturyLink</w:t>
            </w:r>
          </w:p>
        </w:tc>
      </w:tr>
      <w:tr w:rsidR="00F85304" w:rsidRPr="0080038F" w14:paraId="076655E1"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605A6876"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NEW JERSEY</w:t>
            </w:r>
          </w:p>
        </w:tc>
      </w:tr>
      <w:tr w:rsidR="00F85304" w:rsidRPr="0080038F" w14:paraId="27C51672" w14:textId="77777777" w:rsidTr="00950BB2">
        <w:trPr>
          <w:trHeight w:val="233"/>
        </w:trPr>
        <w:tc>
          <w:tcPr>
            <w:tcW w:w="7711" w:type="dxa"/>
            <w:tcBorders>
              <w:top w:val="nil"/>
              <w:left w:val="single" w:sz="4" w:space="0" w:color="auto"/>
              <w:bottom w:val="single" w:sz="4" w:space="0" w:color="auto"/>
              <w:right w:val="single" w:sz="4" w:space="0" w:color="auto"/>
            </w:tcBorders>
            <w:shd w:val="clear" w:color="auto" w:fill="auto"/>
            <w:noWrap/>
            <w:hideMark/>
          </w:tcPr>
          <w:p w14:paraId="7BF95880"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New Jersey, Inc. d/b/a CenturyLink</w:t>
            </w:r>
          </w:p>
        </w:tc>
      </w:tr>
      <w:tr w:rsidR="00F85304" w:rsidRPr="0080038F" w14:paraId="07D4D1AC"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4EFAD547"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 xml:space="preserve">NEW MEXICO </w:t>
            </w:r>
          </w:p>
        </w:tc>
      </w:tr>
      <w:tr w:rsidR="00F85304" w:rsidRPr="0080038F" w14:paraId="639D64FC"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0A7C74E6"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w:t>
            </w:r>
          </w:p>
        </w:tc>
      </w:tr>
      <w:tr w:rsidR="00F85304" w:rsidRPr="0080038F" w14:paraId="053FB420"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2837F1B0"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NORTH CAROLINA</w:t>
            </w:r>
          </w:p>
        </w:tc>
      </w:tr>
      <w:tr w:rsidR="00F85304" w:rsidRPr="0080038F" w14:paraId="79A48B57"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7EDD22A"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Carolina Telephone &amp; Telegraph Company LLC d/b/a CenturyLink</w:t>
            </w:r>
          </w:p>
        </w:tc>
      </w:tr>
      <w:tr w:rsidR="00F85304" w:rsidRPr="0080038F" w14:paraId="044E2D5D"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38829300"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Central Telephone Company d/b/a CenturyLink</w:t>
            </w:r>
          </w:p>
        </w:tc>
      </w:tr>
      <w:tr w:rsidR="00F85304" w:rsidRPr="0080038F" w14:paraId="1109A51D" w14:textId="77777777" w:rsidTr="00950BB2">
        <w:trPr>
          <w:trHeight w:val="255"/>
        </w:trPr>
        <w:tc>
          <w:tcPr>
            <w:tcW w:w="7711" w:type="dxa"/>
            <w:tcBorders>
              <w:top w:val="nil"/>
              <w:left w:val="single" w:sz="4" w:space="0" w:color="auto"/>
              <w:bottom w:val="single" w:sz="4" w:space="0" w:color="auto"/>
              <w:right w:val="single" w:sz="4" w:space="0" w:color="auto"/>
            </w:tcBorders>
            <w:shd w:val="clear" w:color="000000" w:fill="DDDDDD"/>
            <w:noWrap/>
            <w:hideMark/>
          </w:tcPr>
          <w:p w14:paraId="462EEB67"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NORTH DAKOTA</w:t>
            </w:r>
          </w:p>
        </w:tc>
      </w:tr>
      <w:tr w:rsidR="00F85304" w:rsidRPr="0080038F" w14:paraId="1353034A"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3A100315"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Qwest Corporation d/b/a CenturyLink QC</w:t>
            </w:r>
          </w:p>
        </w:tc>
      </w:tr>
      <w:tr w:rsidR="00F85304" w:rsidRPr="0080038F" w14:paraId="2EC5E516"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72B1EC5F"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OHIO</w:t>
            </w:r>
          </w:p>
        </w:tc>
      </w:tr>
      <w:tr w:rsidR="00F85304" w:rsidRPr="0080038F" w14:paraId="7F5F7012"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8F2381C"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Ohio d/b/a CenturyLink</w:t>
            </w:r>
          </w:p>
        </w:tc>
      </w:tr>
      <w:tr w:rsidR="00F85304" w:rsidRPr="0080038F" w14:paraId="4C15E2B3"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0B5B63F2"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OREGON</w:t>
            </w:r>
          </w:p>
        </w:tc>
      </w:tr>
      <w:tr w:rsidR="00F85304" w:rsidRPr="0080038F" w14:paraId="61C00672"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EA6D82C"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65A5CCA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1EC42400"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United Telephone Company of the Northwest d/b/a CenturyLink</w:t>
            </w:r>
          </w:p>
        </w:tc>
      </w:tr>
    </w:tbl>
    <w:p w14:paraId="6D3F4D32" w14:textId="18122C91" w:rsidR="00CA5D27" w:rsidRDefault="00CA5D27"/>
    <w:tbl>
      <w:tblPr>
        <w:tblW w:w="7711" w:type="dxa"/>
        <w:tblInd w:w="654" w:type="dxa"/>
        <w:tblLook w:val="04A0" w:firstRow="1" w:lastRow="0" w:firstColumn="1" w:lastColumn="0" w:noHBand="0" w:noVBand="1"/>
      </w:tblPr>
      <w:tblGrid>
        <w:gridCol w:w="7711"/>
      </w:tblGrid>
      <w:tr w:rsidR="00F85304" w:rsidRPr="0080038F" w14:paraId="7843C81E" w14:textId="77777777" w:rsidTr="00950BB2">
        <w:trPr>
          <w:trHeight w:val="450"/>
        </w:trPr>
        <w:tc>
          <w:tcPr>
            <w:tcW w:w="7711" w:type="dxa"/>
            <w:tcBorders>
              <w:top w:val="single" w:sz="4" w:space="0" w:color="auto"/>
              <w:left w:val="single" w:sz="4" w:space="0" w:color="auto"/>
              <w:bottom w:val="single" w:sz="4" w:space="0" w:color="auto"/>
              <w:right w:val="single" w:sz="4" w:space="0" w:color="auto"/>
            </w:tcBorders>
            <w:shd w:val="clear" w:color="000000" w:fill="CCFFCC"/>
            <w:hideMark/>
          </w:tcPr>
          <w:p w14:paraId="24A8BC12" w14:textId="77777777" w:rsidR="00F85304" w:rsidRPr="0080038F" w:rsidRDefault="00F85304" w:rsidP="00950BB2">
            <w:pPr>
              <w:jc w:val="center"/>
              <w:rPr>
                <w:rFonts w:ascii="Arial" w:hAnsi="Arial" w:cs="Arial"/>
                <w:b/>
                <w:bCs/>
                <w:color w:val="000000"/>
                <w:sz w:val="22"/>
                <w:szCs w:val="22"/>
              </w:rPr>
            </w:pPr>
            <w:r w:rsidRPr="0080038F">
              <w:rPr>
                <w:rFonts w:ascii="Arial" w:hAnsi="Arial" w:cs="Arial"/>
                <w:b/>
                <w:bCs/>
                <w:color w:val="000000"/>
                <w:sz w:val="22"/>
                <w:szCs w:val="22"/>
              </w:rPr>
              <w:t xml:space="preserve">CenturyLink Legal Entity Names - ENTITY LIST (By State)                                                                   </w:t>
            </w:r>
          </w:p>
        </w:tc>
      </w:tr>
      <w:tr w:rsidR="00F85304" w:rsidRPr="0080038F" w14:paraId="35884BD6" w14:textId="77777777" w:rsidTr="00950BB2">
        <w:trPr>
          <w:trHeight w:val="225"/>
        </w:trPr>
        <w:tc>
          <w:tcPr>
            <w:tcW w:w="7711" w:type="dxa"/>
            <w:tcBorders>
              <w:top w:val="single" w:sz="4" w:space="0" w:color="auto"/>
              <w:left w:val="single" w:sz="4" w:space="0" w:color="auto"/>
              <w:bottom w:val="single" w:sz="4" w:space="0" w:color="auto"/>
              <w:right w:val="single" w:sz="4" w:space="0" w:color="auto"/>
            </w:tcBorders>
            <w:shd w:val="clear" w:color="000000" w:fill="DDDDDD"/>
            <w:noWrap/>
            <w:hideMark/>
          </w:tcPr>
          <w:p w14:paraId="5B610EF9" w14:textId="77777777" w:rsidR="00F85304" w:rsidRPr="0080038F" w:rsidRDefault="00F85304" w:rsidP="00950BB2">
            <w:pPr>
              <w:rPr>
                <w:rFonts w:ascii="Arial" w:hAnsi="Arial" w:cs="Arial"/>
                <w:b/>
                <w:bCs/>
                <w:color w:val="000000"/>
                <w:sz w:val="22"/>
                <w:szCs w:val="22"/>
              </w:rPr>
            </w:pPr>
            <w:r w:rsidRPr="0080038F">
              <w:rPr>
                <w:rFonts w:ascii="Arial" w:hAnsi="Arial" w:cs="Arial"/>
                <w:sz w:val="22"/>
                <w:szCs w:val="22"/>
              </w:rPr>
              <w:br w:type="page"/>
            </w:r>
            <w:r w:rsidRPr="0080038F">
              <w:rPr>
                <w:rFonts w:ascii="Arial" w:hAnsi="Arial" w:cs="Arial"/>
                <w:b/>
                <w:bCs/>
                <w:color w:val="000000"/>
                <w:sz w:val="22"/>
                <w:szCs w:val="22"/>
              </w:rPr>
              <w:t>PENNSYLVANIA</w:t>
            </w:r>
          </w:p>
        </w:tc>
      </w:tr>
      <w:tr w:rsidR="00F85304" w:rsidRPr="0080038F" w14:paraId="4056D7B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48D2215D"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The United Telephone Company of Pennsylvania LLC d/b/a CenturyLink</w:t>
            </w:r>
          </w:p>
        </w:tc>
      </w:tr>
      <w:tr w:rsidR="00F85304" w:rsidRPr="0080038F" w14:paraId="72B0EF91"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5E9E1C4F"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 xml:space="preserve">SOUTH CAROLINA </w:t>
            </w:r>
          </w:p>
        </w:tc>
      </w:tr>
      <w:tr w:rsidR="00F85304" w:rsidRPr="0080038F" w14:paraId="1C56A77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08E38AF6"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the Carolinas LLC d/b/a CenturyLink</w:t>
            </w:r>
          </w:p>
        </w:tc>
      </w:tr>
      <w:tr w:rsidR="00F85304" w:rsidRPr="0080038F" w14:paraId="45499116"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4362EDCC"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SOUTH DAKOTA</w:t>
            </w:r>
          </w:p>
        </w:tc>
      </w:tr>
      <w:tr w:rsidR="00F85304" w:rsidRPr="0080038F" w14:paraId="3C9158F4"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324FDB00"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577FE7DC"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2F0E6D32"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TENNESSEE</w:t>
            </w:r>
          </w:p>
        </w:tc>
      </w:tr>
      <w:tr w:rsidR="00F85304" w:rsidRPr="0080038F" w14:paraId="45670D00"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0EED4D0"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Southeast LLC d/b/a CenturyLink</w:t>
            </w:r>
          </w:p>
        </w:tc>
      </w:tr>
      <w:tr w:rsidR="00F85304" w:rsidRPr="0080038F" w14:paraId="19B8D480"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1D6A7FE2"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TEXAS</w:t>
            </w:r>
          </w:p>
        </w:tc>
      </w:tr>
      <w:tr w:rsidR="00F85304" w:rsidRPr="0080038F" w14:paraId="04C3CE81"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tcPr>
          <w:p w14:paraId="62BCEC58"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Central Telephone Company of Texas, Inc. d/b/a CenturyLink</w:t>
            </w:r>
          </w:p>
        </w:tc>
      </w:tr>
      <w:tr w:rsidR="00F85304" w:rsidRPr="0080038F" w14:paraId="34EDAAB8"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66D5D8DE"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Texas, Inc. d/b/a CenturyLink</w:t>
            </w:r>
          </w:p>
        </w:tc>
      </w:tr>
      <w:tr w:rsidR="00F85304" w:rsidRPr="0080038F" w14:paraId="5300AC7F"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1CBB282B"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UTAH</w:t>
            </w:r>
          </w:p>
        </w:tc>
      </w:tr>
      <w:tr w:rsidR="00F85304" w:rsidRPr="0080038F" w14:paraId="319B9B61"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5BE66AC9"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7C1FF427" w14:textId="77777777" w:rsidTr="00950BB2">
        <w:trPr>
          <w:trHeight w:val="285"/>
        </w:trPr>
        <w:tc>
          <w:tcPr>
            <w:tcW w:w="7711" w:type="dxa"/>
            <w:tcBorders>
              <w:top w:val="nil"/>
              <w:left w:val="single" w:sz="4" w:space="0" w:color="auto"/>
              <w:bottom w:val="single" w:sz="4" w:space="0" w:color="auto"/>
              <w:right w:val="single" w:sz="4" w:space="0" w:color="auto"/>
            </w:tcBorders>
            <w:shd w:val="clear" w:color="000000" w:fill="DDDDDD"/>
            <w:noWrap/>
            <w:hideMark/>
          </w:tcPr>
          <w:p w14:paraId="39A4A378"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VIRGINIA</w:t>
            </w:r>
          </w:p>
        </w:tc>
      </w:tr>
      <w:tr w:rsidR="00F85304" w:rsidRPr="0080038F" w14:paraId="54DF3E9A"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70E679E5"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Central Telephone Company of Virginia d/b/a CenturyLink</w:t>
            </w:r>
          </w:p>
        </w:tc>
      </w:tr>
      <w:tr w:rsidR="00F85304" w:rsidRPr="0080038F" w14:paraId="01DE3E6C"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13716FE4"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United Telephone Southeast LLC d/b/a CenturyLink</w:t>
            </w:r>
          </w:p>
        </w:tc>
      </w:tr>
      <w:tr w:rsidR="00F85304" w:rsidRPr="0080038F" w14:paraId="09043BFD"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460D5860"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WASHINGTON</w:t>
            </w:r>
          </w:p>
        </w:tc>
      </w:tr>
      <w:tr w:rsidR="00F85304" w:rsidRPr="0080038F" w14:paraId="38B6A340" w14:textId="77777777" w:rsidTr="00950BB2">
        <w:trPr>
          <w:trHeight w:val="255"/>
        </w:trPr>
        <w:tc>
          <w:tcPr>
            <w:tcW w:w="7711" w:type="dxa"/>
            <w:tcBorders>
              <w:top w:val="nil"/>
              <w:left w:val="single" w:sz="4" w:space="0" w:color="auto"/>
              <w:bottom w:val="single" w:sz="4" w:space="0" w:color="auto"/>
              <w:right w:val="single" w:sz="4" w:space="0" w:color="auto"/>
            </w:tcBorders>
            <w:shd w:val="clear" w:color="auto" w:fill="auto"/>
            <w:noWrap/>
            <w:hideMark/>
          </w:tcPr>
          <w:p w14:paraId="027E0C9D"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3FCED925"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51A19B47"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the Northwest d/b/a CenturyLink</w:t>
            </w:r>
          </w:p>
        </w:tc>
      </w:tr>
      <w:tr w:rsidR="00F85304" w:rsidRPr="0080038F" w14:paraId="6313E5CF"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7D6D3EEC" w14:textId="77777777" w:rsidR="00F85304" w:rsidRPr="0080038F" w:rsidRDefault="00F85304" w:rsidP="00950BB2">
            <w:pPr>
              <w:rPr>
                <w:rFonts w:ascii="Arial" w:hAnsi="Arial" w:cs="Arial"/>
                <w:b/>
                <w:bCs/>
                <w:color w:val="000000"/>
                <w:sz w:val="22"/>
                <w:szCs w:val="22"/>
              </w:rPr>
            </w:pPr>
            <w:r w:rsidRPr="0080038F">
              <w:rPr>
                <w:rFonts w:ascii="Arial" w:hAnsi="Arial" w:cs="Arial"/>
                <w:b/>
                <w:bCs/>
                <w:color w:val="000000"/>
                <w:sz w:val="22"/>
                <w:szCs w:val="22"/>
              </w:rPr>
              <w:t xml:space="preserve">WISCONSIN </w:t>
            </w:r>
          </w:p>
        </w:tc>
      </w:tr>
      <w:tr w:rsidR="00F85304" w:rsidRPr="0080038F" w14:paraId="54AB0B94"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0D641CA1"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Qwest Corporation d/b/a CenturyLink QC</w:t>
            </w:r>
          </w:p>
        </w:tc>
      </w:tr>
      <w:tr w:rsidR="00F85304" w:rsidRPr="0080038F" w14:paraId="1FFBFDDD" w14:textId="77777777" w:rsidTr="00950BB2">
        <w:trPr>
          <w:trHeight w:val="225"/>
        </w:trPr>
        <w:tc>
          <w:tcPr>
            <w:tcW w:w="7711" w:type="dxa"/>
            <w:tcBorders>
              <w:top w:val="nil"/>
              <w:left w:val="single" w:sz="4" w:space="0" w:color="auto"/>
              <w:bottom w:val="single" w:sz="4" w:space="0" w:color="auto"/>
              <w:right w:val="single" w:sz="4" w:space="0" w:color="auto"/>
            </w:tcBorders>
            <w:shd w:val="clear" w:color="000000" w:fill="DDDDDD"/>
            <w:noWrap/>
            <w:hideMark/>
          </w:tcPr>
          <w:p w14:paraId="40E8045B" w14:textId="77777777" w:rsidR="00F85304" w:rsidRPr="0080038F" w:rsidRDefault="00F85304" w:rsidP="00950BB2">
            <w:pPr>
              <w:rPr>
                <w:rFonts w:ascii="Arial" w:hAnsi="Arial" w:cs="Arial"/>
                <w:color w:val="000000"/>
                <w:sz w:val="22"/>
                <w:szCs w:val="22"/>
              </w:rPr>
            </w:pPr>
            <w:r w:rsidRPr="0080038F">
              <w:rPr>
                <w:rFonts w:ascii="Arial" w:hAnsi="Arial" w:cs="Arial"/>
                <w:b/>
                <w:bCs/>
                <w:color w:val="000000"/>
                <w:sz w:val="22"/>
                <w:szCs w:val="22"/>
              </w:rPr>
              <w:t>WYOMING</w:t>
            </w:r>
          </w:p>
        </w:tc>
      </w:tr>
      <w:tr w:rsidR="00F85304" w:rsidRPr="0080038F" w14:paraId="32AE0E8C" w14:textId="77777777" w:rsidTr="00950BB2">
        <w:trPr>
          <w:trHeight w:val="240"/>
        </w:trPr>
        <w:tc>
          <w:tcPr>
            <w:tcW w:w="7711" w:type="dxa"/>
            <w:tcBorders>
              <w:top w:val="nil"/>
              <w:left w:val="single" w:sz="4" w:space="0" w:color="auto"/>
              <w:bottom w:val="single" w:sz="4" w:space="0" w:color="auto"/>
              <w:right w:val="single" w:sz="4" w:space="0" w:color="auto"/>
            </w:tcBorders>
            <w:shd w:val="clear" w:color="auto" w:fill="auto"/>
            <w:hideMark/>
          </w:tcPr>
          <w:p w14:paraId="2146C2DB" w14:textId="77777777" w:rsidR="00F85304" w:rsidRPr="0080038F" w:rsidRDefault="00F85304" w:rsidP="00950BB2">
            <w:pPr>
              <w:rPr>
                <w:rFonts w:ascii="Arial" w:hAnsi="Arial" w:cs="Arial"/>
                <w:b/>
                <w:bCs/>
                <w:color w:val="000000"/>
                <w:sz w:val="22"/>
                <w:szCs w:val="22"/>
              </w:rPr>
            </w:pPr>
            <w:r w:rsidRPr="0080038F">
              <w:rPr>
                <w:rFonts w:ascii="Arial" w:hAnsi="Arial" w:cs="Arial"/>
                <w:color w:val="000000"/>
                <w:sz w:val="22"/>
                <w:szCs w:val="22"/>
              </w:rPr>
              <w:t>Qwest Corporation d/b/a CenturyLink QC</w:t>
            </w:r>
          </w:p>
        </w:tc>
      </w:tr>
      <w:tr w:rsidR="00F85304" w:rsidRPr="0080038F" w14:paraId="35620F4F" w14:textId="77777777" w:rsidTr="00950BB2">
        <w:trPr>
          <w:trHeight w:val="225"/>
        </w:trPr>
        <w:tc>
          <w:tcPr>
            <w:tcW w:w="7711" w:type="dxa"/>
            <w:tcBorders>
              <w:top w:val="nil"/>
              <w:left w:val="single" w:sz="4" w:space="0" w:color="auto"/>
              <w:bottom w:val="single" w:sz="4" w:space="0" w:color="auto"/>
              <w:right w:val="single" w:sz="4" w:space="0" w:color="auto"/>
            </w:tcBorders>
            <w:shd w:val="clear" w:color="auto" w:fill="auto"/>
            <w:noWrap/>
            <w:hideMark/>
          </w:tcPr>
          <w:p w14:paraId="5A70D32B" w14:textId="77777777" w:rsidR="00F85304" w:rsidRPr="0080038F" w:rsidRDefault="00F85304" w:rsidP="00950BB2">
            <w:pPr>
              <w:rPr>
                <w:rFonts w:ascii="Arial" w:hAnsi="Arial" w:cs="Arial"/>
                <w:color w:val="000000"/>
                <w:sz w:val="22"/>
                <w:szCs w:val="22"/>
              </w:rPr>
            </w:pPr>
            <w:r w:rsidRPr="0080038F">
              <w:rPr>
                <w:rFonts w:ascii="Arial" w:hAnsi="Arial" w:cs="Arial"/>
                <w:color w:val="000000"/>
                <w:sz w:val="22"/>
                <w:szCs w:val="22"/>
              </w:rPr>
              <w:t>United Telephone Company of the West d/b/a CenturyLink of the West</w:t>
            </w:r>
          </w:p>
        </w:tc>
      </w:tr>
    </w:tbl>
    <w:p w14:paraId="5B4FB067" w14:textId="77777777" w:rsidR="005E5492" w:rsidRDefault="005E5492" w:rsidP="002D1CB0"/>
    <w:sectPr w:rsidR="005E5492" w:rsidSect="001D0165">
      <w:headerReference w:type="default" r:id="rId10"/>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06C8" w14:textId="77777777" w:rsidR="006850D5" w:rsidRDefault="006850D5">
      <w:r>
        <w:separator/>
      </w:r>
    </w:p>
  </w:endnote>
  <w:endnote w:type="continuationSeparator" w:id="0">
    <w:p w14:paraId="05E2EC7E" w14:textId="77777777" w:rsidR="006850D5" w:rsidRDefault="006850D5">
      <w:r>
        <w:continuationSeparator/>
      </w:r>
    </w:p>
  </w:endnote>
  <w:endnote w:type="continuationNotice" w:id="1">
    <w:p w14:paraId="60A4BAF7" w14:textId="77777777" w:rsidR="006850D5" w:rsidRDefault="00685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5" w:type="dxa"/>
      <w:tblLook w:val="04A0" w:firstRow="1" w:lastRow="0" w:firstColumn="1" w:lastColumn="0" w:noHBand="0" w:noVBand="1"/>
    </w:tblPr>
    <w:tblGrid>
      <w:gridCol w:w="4495"/>
      <w:gridCol w:w="1839"/>
      <w:gridCol w:w="4681"/>
    </w:tblGrid>
    <w:tr w:rsidR="00423B53" w:rsidRPr="00450EC2" w14:paraId="30AC0FA9" w14:textId="77777777" w:rsidTr="0081038F">
      <w:trPr>
        <w:trHeight w:val="447"/>
      </w:trPr>
      <w:tc>
        <w:tcPr>
          <w:tcW w:w="4495" w:type="dxa"/>
        </w:tcPr>
        <w:p w14:paraId="759A0892" w14:textId="77777777" w:rsidR="0081038F" w:rsidRDefault="009862A8" w:rsidP="00423B53">
          <w:pPr>
            <w:tabs>
              <w:tab w:val="center" w:pos="5400"/>
              <w:tab w:val="right" w:pos="10800"/>
            </w:tabs>
            <w:rPr>
              <w:rFonts w:ascii="Arial" w:hAnsi="Arial"/>
              <w:sz w:val="16"/>
              <w:szCs w:val="16"/>
            </w:rPr>
          </w:pPr>
          <w:r>
            <w:rPr>
              <w:rFonts w:ascii="Arial" w:hAnsi="Arial"/>
              <w:sz w:val="16"/>
              <w:szCs w:val="16"/>
            </w:rPr>
            <w:t xml:space="preserve">Service Schedule for </w:t>
          </w:r>
          <w:r w:rsidR="00423B53" w:rsidRPr="00450EC2">
            <w:rPr>
              <w:rFonts w:ascii="Arial" w:hAnsi="Arial"/>
              <w:sz w:val="16"/>
              <w:szCs w:val="16"/>
            </w:rPr>
            <w:t xml:space="preserve">Wholesale Local </w:t>
          </w:r>
          <w:r w:rsidR="00450EC2" w:rsidRPr="00450EC2">
            <w:rPr>
              <w:rFonts w:ascii="Arial" w:hAnsi="Arial"/>
              <w:sz w:val="16"/>
              <w:szCs w:val="16"/>
            </w:rPr>
            <w:t xml:space="preserve">Voice </w:t>
          </w:r>
          <w:r w:rsidR="00111038">
            <w:rPr>
              <w:rFonts w:ascii="Arial" w:hAnsi="Arial"/>
              <w:sz w:val="16"/>
              <w:szCs w:val="16"/>
            </w:rPr>
            <w:t xml:space="preserve">(WLV) </w:t>
          </w:r>
          <w:r w:rsidR="00423B53" w:rsidRPr="00450EC2">
            <w:rPr>
              <w:rFonts w:ascii="Arial" w:hAnsi="Arial"/>
              <w:sz w:val="16"/>
              <w:szCs w:val="16"/>
            </w:rPr>
            <w:t>Service</w:t>
          </w:r>
        </w:p>
        <w:p w14:paraId="64598352" w14:textId="411D5F1D" w:rsidR="00423B53" w:rsidRPr="00450EC2" w:rsidRDefault="0081038F" w:rsidP="00423B53">
          <w:pPr>
            <w:tabs>
              <w:tab w:val="center" w:pos="5400"/>
              <w:tab w:val="right" w:pos="10800"/>
            </w:tabs>
            <w:rPr>
              <w:rFonts w:ascii="Arial" w:hAnsi="Arial"/>
              <w:sz w:val="16"/>
              <w:szCs w:val="16"/>
            </w:rPr>
          </w:pPr>
          <w:r>
            <w:rPr>
              <w:rFonts w:ascii="Arial" w:hAnsi="Arial"/>
              <w:sz w:val="16"/>
              <w:szCs w:val="16"/>
            </w:rPr>
            <w:t>[Date]/[initials]/[Customer Name]</w:t>
          </w:r>
          <w:r w:rsidR="00423B53" w:rsidRPr="00450EC2">
            <w:rPr>
              <w:rFonts w:ascii="Arial" w:hAnsi="Arial"/>
              <w:sz w:val="16"/>
              <w:szCs w:val="16"/>
            </w:rPr>
            <w:t xml:space="preserve"> </w:t>
          </w:r>
        </w:p>
      </w:tc>
      <w:tc>
        <w:tcPr>
          <w:tcW w:w="1839" w:type="dxa"/>
          <w:vAlign w:val="bottom"/>
        </w:tcPr>
        <w:p w14:paraId="590FC318" w14:textId="77777777" w:rsidR="00423B53" w:rsidRPr="00450EC2" w:rsidRDefault="00423B53"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77777777" w:rsidR="00423B53" w:rsidRPr="00450EC2" w:rsidRDefault="00423B53" w:rsidP="00423B53">
          <w:pPr>
            <w:tabs>
              <w:tab w:val="center" w:pos="5400"/>
              <w:tab w:val="right" w:pos="10800"/>
            </w:tabs>
            <w:jc w:val="right"/>
            <w:rPr>
              <w:rFonts w:ascii="Arial" w:hAnsi="Arial"/>
              <w:sz w:val="16"/>
              <w:szCs w:val="16"/>
            </w:rPr>
          </w:pPr>
          <w:r w:rsidRPr="00450EC2">
            <w:rPr>
              <w:rFonts w:ascii="Arial" w:hAnsi="Arial"/>
              <w:sz w:val="16"/>
              <w:szCs w:val="16"/>
            </w:rPr>
            <w:t>© CenturyLink. All Rights Reserved.</w:t>
          </w:r>
        </w:p>
        <w:p w14:paraId="702AAFED" w14:textId="26A3F827" w:rsidR="00423B53" w:rsidRPr="00450EC2" w:rsidRDefault="00423B53" w:rsidP="00423B53">
          <w:pPr>
            <w:tabs>
              <w:tab w:val="center" w:pos="5400"/>
              <w:tab w:val="right" w:pos="10800"/>
            </w:tabs>
            <w:jc w:val="right"/>
            <w:rPr>
              <w:rFonts w:ascii="Arial" w:hAnsi="Arial"/>
              <w:sz w:val="16"/>
              <w:szCs w:val="16"/>
            </w:rPr>
          </w:pPr>
          <w:r w:rsidRPr="00450EC2">
            <w:rPr>
              <w:rFonts w:ascii="Arial" w:hAnsi="Arial"/>
              <w:sz w:val="16"/>
              <w:szCs w:val="16"/>
            </w:rPr>
            <w:t>(</w:t>
          </w:r>
          <w:r w:rsidR="006F4CA5">
            <w:rPr>
              <w:rFonts w:ascii="Arial" w:hAnsi="Arial"/>
              <w:sz w:val="16"/>
              <w:szCs w:val="16"/>
            </w:rPr>
            <w:t>v.</w:t>
          </w:r>
          <w:r w:rsidR="00450EC2">
            <w:rPr>
              <w:rFonts w:ascii="Arial" w:hAnsi="Arial"/>
              <w:sz w:val="16"/>
              <w:szCs w:val="16"/>
            </w:rPr>
            <w:t>0</w:t>
          </w:r>
          <w:r w:rsidR="009862A8">
            <w:rPr>
              <w:rFonts w:ascii="Arial" w:hAnsi="Arial"/>
              <w:sz w:val="16"/>
              <w:szCs w:val="16"/>
            </w:rPr>
            <w:t>5</w:t>
          </w:r>
          <w:r w:rsidR="00450EC2">
            <w:rPr>
              <w:rFonts w:ascii="Arial" w:hAnsi="Arial"/>
              <w:sz w:val="16"/>
              <w:szCs w:val="16"/>
            </w:rPr>
            <w:t>.</w:t>
          </w:r>
          <w:r w:rsidR="00B65720">
            <w:rPr>
              <w:rFonts w:ascii="Arial" w:hAnsi="Arial"/>
              <w:sz w:val="16"/>
              <w:szCs w:val="16"/>
            </w:rPr>
            <w:t>14</w:t>
          </w:r>
          <w:r w:rsidR="00450EC2">
            <w:rPr>
              <w:rFonts w:ascii="Arial" w:hAnsi="Arial"/>
              <w:sz w:val="16"/>
              <w:szCs w:val="16"/>
            </w:rPr>
            <w:t>.2020</w:t>
          </w:r>
          <w:r w:rsidRPr="00450EC2">
            <w:rPr>
              <w:rFonts w:ascii="Arial" w:hAnsi="Arial"/>
              <w:sz w:val="16"/>
              <w:szCs w:val="16"/>
            </w:rPr>
            <w:t>)</w:t>
          </w:r>
        </w:p>
      </w:tc>
    </w:tr>
  </w:tbl>
  <w:p w14:paraId="252445FD" w14:textId="77777777" w:rsidR="00423B53" w:rsidRDefault="0042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F26E" w14:textId="77777777" w:rsidR="006850D5" w:rsidRDefault="006850D5">
      <w:pPr>
        <w:rPr>
          <w:noProof/>
        </w:rPr>
      </w:pPr>
      <w:r>
        <w:rPr>
          <w:noProof/>
        </w:rPr>
        <w:separator/>
      </w:r>
    </w:p>
  </w:footnote>
  <w:footnote w:type="continuationSeparator" w:id="0">
    <w:p w14:paraId="000FF0D4" w14:textId="77777777" w:rsidR="006850D5" w:rsidRDefault="006850D5">
      <w:r>
        <w:continuationSeparator/>
      </w:r>
    </w:p>
  </w:footnote>
  <w:footnote w:type="continuationNotice" w:id="1">
    <w:p w14:paraId="71B71EE1" w14:textId="77777777" w:rsidR="006850D5" w:rsidRDefault="00685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9074" w14:textId="77777777" w:rsidR="00405F3E" w:rsidRDefault="00405F3E">
    <w:pPr>
      <w:pStyle w:val="Header"/>
      <w:jc w:val="center"/>
      <w:rPr>
        <w:rFonts w:ascii="Arial" w:hAnsi="Arial" w:cs="Arial"/>
        <w:b/>
      </w:rPr>
    </w:pPr>
    <w:bookmarkStart w:id="0" w:name="_Hlk39145483"/>
    <w:r w:rsidRPr="00EF34FF">
      <w:rPr>
        <w:rFonts w:ascii="Arial" w:hAnsi="Arial" w:cs="Arial"/>
        <w:b/>
        <w:highlight w:val="yellow"/>
      </w:rPr>
      <w:t>DRAFT – FOR DISCUSSION PURPOSES ONLY – NOT AN OFFER OF ANY SERVICE OR PRODUCT</w:t>
    </w:r>
  </w:p>
  <w:bookmarkEnd w:id="0"/>
  <w:p w14:paraId="40EC56C4" w14:textId="77777777" w:rsidR="00CB16DF" w:rsidRDefault="00CB16DF">
    <w:pPr>
      <w:pStyle w:val="Header"/>
      <w:jc w:val="center"/>
      <w:rPr>
        <w:rFonts w:ascii="Arial" w:hAnsi="Arial" w:cs="Arial"/>
        <w:b/>
      </w:rPr>
    </w:pPr>
  </w:p>
  <w:p w14:paraId="2B72CBB9" w14:textId="5048A8BD" w:rsidR="00405F3E" w:rsidRDefault="0054549F">
    <w:pPr>
      <w:pStyle w:val="Header"/>
      <w:jc w:val="center"/>
      <w:rPr>
        <w:rFonts w:ascii="Arial" w:hAnsi="Arial"/>
        <w:b/>
      </w:rPr>
    </w:pPr>
    <w:r>
      <w:rPr>
        <w:rFonts w:ascii="Arial" w:hAnsi="Arial" w:cs="Arial"/>
        <w:b/>
      </w:rPr>
      <w:t xml:space="preserve">SERVICE SCHEDULE FOR </w:t>
    </w:r>
    <w:r w:rsidR="00405F3E">
      <w:rPr>
        <w:rFonts w:ascii="Arial" w:hAnsi="Arial" w:cs="Arial"/>
        <w:b/>
      </w:rPr>
      <w:t xml:space="preserve">CENTURYLINK™ WHOLESALE LOCAL VOICE </w:t>
    </w:r>
    <w:r w:rsidR="00DA582C">
      <w:rPr>
        <w:rFonts w:ascii="Arial" w:hAnsi="Arial"/>
        <w:b/>
      </w:rPr>
      <w:t xml:space="preserve">(“WLV”) </w:t>
    </w:r>
    <w:r w:rsidR="00644194">
      <w:rPr>
        <w:rFonts w:ascii="Arial" w:hAnsi="Arial" w:cs="Arial"/>
        <w:b/>
      </w:rPr>
      <w:t>SERVICE</w:t>
    </w:r>
  </w:p>
  <w:p w14:paraId="6DFE5185" w14:textId="77777777" w:rsidR="00405F3E" w:rsidRDefault="00405F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0C5D" w14:textId="77777777" w:rsidR="009862A8" w:rsidRDefault="009862A8" w:rsidP="009862A8">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p w14:paraId="6B972792" w14:textId="77777777" w:rsidR="009862A8" w:rsidRDefault="009862A8" w:rsidP="009862A8">
    <w:pPr>
      <w:pStyle w:val="Header"/>
      <w:jc w:val="center"/>
      <w:rPr>
        <w:rFonts w:ascii="Arial" w:hAnsi="Arial" w:cs="Arial"/>
        <w:b/>
      </w:rPr>
    </w:pPr>
  </w:p>
  <w:p w14:paraId="20D5F970" w14:textId="77777777" w:rsidR="009862A8" w:rsidRDefault="009862A8"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405F3E" w:rsidRDefault="00405F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16"/>
  </w:num>
  <w:num w:numId="5">
    <w:abstractNumId w:val="19"/>
  </w:num>
  <w:num w:numId="6">
    <w:abstractNumId w:val="29"/>
  </w:num>
  <w:num w:numId="7">
    <w:abstractNumId w:val="20"/>
  </w:num>
  <w:num w:numId="8">
    <w:abstractNumId w:val="1"/>
  </w:num>
  <w:num w:numId="9">
    <w:abstractNumId w:val="4"/>
  </w:num>
  <w:num w:numId="10">
    <w:abstractNumId w:val="8"/>
  </w:num>
  <w:num w:numId="11">
    <w:abstractNumId w:val="11"/>
  </w:num>
  <w:num w:numId="12">
    <w:abstractNumId w:val="6"/>
  </w:num>
  <w:num w:numId="13">
    <w:abstractNumId w:val="28"/>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9"/>
  </w:num>
  <w:num w:numId="20">
    <w:abstractNumId w:val="15"/>
  </w:num>
  <w:num w:numId="21">
    <w:abstractNumId w:val="18"/>
  </w:num>
  <w:num w:numId="22">
    <w:abstractNumId w:val="21"/>
  </w:num>
  <w:num w:numId="23">
    <w:abstractNumId w:val="26"/>
  </w:num>
  <w:num w:numId="24">
    <w:abstractNumId w:val="12"/>
  </w:num>
  <w:num w:numId="25">
    <w:abstractNumId w:val="2"/>
  </w:num>
  <w:num w:numId="26">
    <w:abstractNumId w:val="5"/>
  </w:num>
  <w:num w:numId="27">
    <w:abstractNumId w:val="27"/>
  </w:num>
  <w:num w:numId="28">
    <w:abstractNumId w:val="30"/>
  </w:num>
  <w:num w:numId="29">
    <w:abstractNumId w:val="7"/>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NxIg+vLdUF59d4PAocRheAn48K3LYyhSomIBjkMHWuprxAY4naxk9RDbvzCPxOUsZQmmrh22CTTih69zUEMphw==" w:salt="aY3M0DGmlS1+Slwzi3hkRw=="/>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2D4A"/>
    <w:rsid w:val="00031470"/>
    <w:rsid w:val="00036DDC"/>
    <w:rsid w:val="00062C48"/>
    <w:rsid w:val="00065E60"/>
    <w:rsid w:val="00072E3E"/>
    <w:rsid w:val="0007515F"/>
    <w:rsid w:val="000830B6"/>
    <w:rsid w:val="00090B2D"/>
    <w:rsid w:val="000A3EB2"/>
    <w:rsid w:val="000D02F5"/>
    <w:rsid w:val="000D19CE"/>
    <w:rsid w:val="000D19FD"/>
    <w:rsid w:val="000E1583"/>
    <w:rsid w:val="000E25E6"/>
    <w:rsid w:val="000E437C"/>
    <w:rsid w:val="000F06DE"/>
    <w:rsid w:val="00101C1F"/>
    <w:rsid w:val="00111038"/>
    <w:rsid w:val="00111B88"/>
    <w:rsid w:val="00116A5F"/>
    <w:rsid w:val="00116F40"/>
    <w:rsid w:val="001209BD"/>
    <w:rsid w:val="0013620E"/>
    <w:rsid w:val="00140486"/>
    <w:rsid w:val="00151031"/>
    <w:rsid w:val="00181E0E"/>
    <w:rsid w:val="00185189"/>
    <w:rsid w:val="001A041C"/>
    <w:rsid w:val="001A552B"/>
    <w:rsid w:val="001A5EF9"/>
    <w:rsid w:val="001A7E5E"/>
    <w:rsid w:val="001C3903"/>
    <w:rsid w:val="001D0165"/>
    <w:rsid w:val="001D39F6"/>
    <w:rsid w:val="001D3BF3"/>
    <w:rsid w:val="00201651"/>
    <w:rsid w:val="002020C8"/>
    <w:rsid w:val="00213193"/>
    <w:rsid w:val="00215E41"/>
    <w:rsid w:val="00271CB7"/>
    <w:rsid w:val="002735E3"/>
    <w:rsid w:val="00290AAE"/>
    <w:rsid w:val="002B1286"/>
    <w:rsid w:val="002B224F"/>
    <w:rsid w:val="002B436C"/>
    <w:rsid w:val="002B7FC6"/>
    <w:rsid w:val="002C27F2"/>
    <w:rsid w:val="002D1CB0"/>
    <w:rsid w:val="002D2AE7"/>
    <w:rsid w:val="002E3E08"/>
    <w:rsid w:val="002F3DCF"/>
    <w:rsid w:val="002F54DE"/>
    <w:rsid w:val="003108B3"/>
    <w:rsid w:val="00321D9B"/>
    <w:rsid w:val="003237E7"/>
    <w:rsid w:val="00323EA9"/>
    <w:rsid w:val="003308D5"/>
    <w:rsid w:val="00334369"/>
    <w:rsid w:val="003438C5"/>
    <w:rsid w:val="00356AE9"/>
    <w:rsid w:val="003648D8"/>
    <w:rsid w:val="00385DDC"/>
    <w:rsid w:val="00387EE8"/>
    <w:rsid w:val="00393DA7"/>
    <w:rsid w:val="00397286"/>
    <w:rsid w:val="003B7B40"/>
    <w:rsid w:val="003C394B"/>
    <w:rsid w:val="003C60F3"/>
    <w:rsid w:val="003D0611"/>
    <w:rsid w:val="003D17E9"/>
    <w:rsid w:val="003D3210"/>
    <w:rsid w:val="003D4641"/>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20BFB"/>
    <w:rsid w:val="00521EB4"/>
    <w:rsid w:val="005233C4"/>
    <w:rsid w:val="0052361A"/>
    <w:rsid w:val="00523E59"/>
    <w:rsid w:val="00533EED"/>
    <w:rsid w:val="005360AE"/>
    <w:rsid w:val="0054259D"/>
    <w:rsid w:val="0054549F"/>
    <w:rsid w:val="00551A11"/>
    <w:rsid w:val="00557E4A"/>
    <w:rsid w:val="00561680"/>
    <w:rsid w:val="00587FBD"/>
    <w:rsid w:val="0059265C"/>
    <w:rsid w:val="005A7D39"/>
    <w:rsid w:val="005C4C2C"/>
    <w:rsid w:val="005E4AC4"/>
    <w:rsid w:val="005E5492"/>
    <w:rsid w:val="00600DBC"/>
    <w:rsid w:val="00615613"/>
    <w:rsid w:val="00617879"/>
    <w:rsid w:val="006246B0"/>
    <w:rsid w:val="00634CC2"/>
    <w:rsid w:val="006378EA"/>
    <w:rsid w:val="0064087E"/>
    <w:rsid w:val="00641615"/>
    <w:rsid w:val="00644194"/>
    <w:rsid w:val="00661F68"/>
    <w:rsid w:val="00665274"/>
    <w:rsid w:val="00673EE5"/>
    <w:rsid w:val="006850D5"/>
    <w:rsid w:val="006A34C6"/>
    <w:rsid w:val="006B4892"/>
    <w:rsid w:val="006C08D7"/>
    <w:rsid w:val="006C4277"/>
    <w:rsid w:val="006C58BD"/>
    <w:rsid w:val="006D08DE"/>
    <w:rsid w:val="006F034A"/>
    <w:rsid w:val="006F22C9"/>
    <w:rsid w:val="006F4CA5"/>
    <w:rsid w:val="0070726A"/>
    <w:rsid w:val="00715CE6"/>
    <w:rsid w:val="00717293"/>
    <w:rsid w:val="0072034D"/>
    <w:rsid w:val="00724223"/>
    <w:rsid w:val="007344E9"/>
    <w:rsid w:val="00735BF9"/>
    <w:rsid w:val="007452AB"/>
    <w:rsid w:val="007539E0"/>
    <w:rsid w:val="00764827"/>
    <w:rsid w:val="00767035"/>
    <w:rsid w:val="0077188A"/>
    <w:rsid w:val="00773F47"/>
    <w:rsid w:val="00775917"/>
    <w:rsid w:val="007A2C2F"/>
    <w:rsid w:val="007A6B24"/>
    <w:rsid w:val="007B4FF6"/>
    <w:rsid w:val="007D5CAB"/>
    <w:rsid w:val="007E50B0"/>
    <w:rsid w:val="007E59E1"/>
    <w:rsid w:val="008075F1"/>
    <w:rsid w:val="0081038F"/>
    <w:rsid w:val="00813EF3"/>
    <w:rsid w:val="00825DA9"/>
    <w:rsid w:val="0083014F"/>
    <w:rsid w:val="00836D6E"/>
    <w:rsid w:val="00844FE7"/>
    <w:rsid w:val="0084577A"/>
    <w:rsid w:val="00850B7A"/>
    <w:rsid w:val="00853424"/>
    <w:rsid w:val="0086065A"/>
    <w:rsid w:val="008A1611"/>
    <w:rsid w:val="008A3DA4"/>
    <w:rsid w:val="008B2089"/>
    <w:rsid w:val="008B2EF0"/>
    <w:rsid w:val="008B48D2"/>
    <w:rsid w:val="008C28C6"/>
    <w:rsid w:val="008D6266"/>
    <w:rsid w:val="008F639A"/>
    <w:rsid w:val="009052A7"/>
    <w:rsid w:val="009118D6"/>
    <w:rsid w:val="0091734E"/>
    <w:rsid w:val="0095269D"/>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6176"/>
    <w:rsid w:val="00A16360"/>
    <w:rsid w:val="00A37D0D"/>
    <w:rsid w:val="00A43894"/>
    <w:rsid w:val="00A43F5D"/>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DED"/>
    <w:rsid w:val="00AE23C6"/>
    <w:rsid w:val="00AE35EA"/>
    <w:rsid w:val="00AF29EE"/>
    <w:rsid w:val="00B131F6"/>
    <w:rsid w:val="00B2510B"/>
    <w:rsid w:val="00B27291"/>
    <w:rsid w:val="00B2750C"/>
    <w:rsid w:val="00B32EE6"/>
    <w:rsid w:val="00B3673C"/>
    <w:rsid w:val="00B6429A"/>
    <w:rsid w:val="00B65720"/>
    <w:rsid w:val="00B6757A"/>
    <w:rsid w:val="00B75BA3"/>
    <w:rsid w:val="00B952A2"/>
    <w:rsid w:val="00BA7EC4"/>
    <w:rsid w:val="00BC0B7F"/>
    <w:rsid w:val="00BC273D"/>
    <w:rsid w:val="00BD192A"/>
    <w:rsid w:val="00BE2CE6"/>
    <w:rsid w:val="00BE4124"/>
    <w:rsid w:val="00BE5336"/>
    <w:rsid w:val="00BE677C"/>
    <w:rsid w:val="00BE6DB4"/>
    <w:rsid w:val="00BF5D8C"/>
    <w:rsid w:val="00C161D7"/>
    <w:rsid w:val="00C2155C"/>
    <w:rsid w:val="00C27329"/>
    <w:rsid w:val="00C31975"/>
    <w:rsid w:val="00C35BA8"/>
    <w:rsid w:val="00C435B6"/>
    <w:rsid w:val="00C47E58"/>
    <w:rsid w:val="00C50764"/>
    <w:rsid w:val="00C607E0"/>
    <w:rsid w:val="00C635D1"/>
    <w:rsid w:val="00C656AE"/>
    <w:rsid w:val="00C73739"/>
    <w:rsid w:val="00C84271"/>
    <w:rsid w:val="00C87839"/>
    <w:rsid w:val="00CA569E"/>
    <w:rsid w:val="00CA5D27"/>
    <w:rsid w:val="00CA5D5B"/>
    <w:rsid w:val="00CB16DF"/>
    <w:rsid w:val="00CC2520"/>
    <w:rsid w:val="00CF67BE"/>
    <w:rsid w:val="00D01838"/>
    <w:rsid w:val="00D106E3"/>
    <w:rsid w:val="00D109D7"/>
    <w:rsid w:val="00D10E92"/>
    <w:rsid w:val="00D223A7"/>
    <w:rsid w:val="00D36CB0"/>
    <w:rsid w:val="00D45A6D"/>
    <w:rsid w:val="00D512A5"/>
    <w:rsid w:val="00D7654A"/>
    <w:rsid w:val="00D9151B"/>
    <w:rsid w:val="00D92D30"/>
    <w:rsid w:val="00DA3082"/>
    <w:rsid w:val="00DA582C"/>
    <w:rsid w:val="00DA6859"/>
    <w:rsid w:val="00DA7BE9"/>
    <w:rsid w:val="00DB7B55"/>
    <w:rsid w:val="00DC27C3"/>
    <w:rsid w:val="00DE13CC"/>
    <w:rsid w:val="00DE4069"/>
    <w:rsid w:val="00E2133A"/>
    <w:rsid w:val="00E239B3"/>
    <w:rsid w:val="00E338F7"/>
    <w:rsid w:val="00E4059B"/>
    <w:rsid w:val="00E432B5"/>
    <w:rsid w:val="00E43605"/>
    <w:rsid w:val="00E730B8"/>
    <w:rsid w:val="00E7475B"/>
    <w:rsid w:val="00E77B98"/>
    <w:rsid w:val="00EB4304"/>
    <w:rsid w:val="00EB5438"/>
    <w:rsid w:val="00EC6AC9"/>
    <w:rsid w:val="00ED30BE"/>
    <w:rsid w:val="00EE3566"/>
    <w:rsid w:val="00EE6FBF"/>
    <w:rsid w:val="00EF0521"/>
    <w:rsid w:val="00EF1819"/>
    <w:rsid w:val="00EF34FF"/>
    <w:rsid w:val="00F107F2"/>
    <w:rsid w:val="00F276DD"/>
    <w:rsid w:val="00F431EF"/>
    <w:rsid w:val="00F4571B"/>
    <w:rsid w:val="00F50A2F"/>
    <w:rsid w:val="00F54E35"/>
    <w:rsid w:val="00F57605"/>
    <w:rsid w:val="00F7194D"/>
    <w:rsid w:val="00F71CE4"/>
    <w:rsid w:val="00F72AC0"/>
    <w:rsid w:val="00F85304"/>
    <w:rsid w:val="00F9336F"/>
    <w:rsid w:val="00FA2372"/>
    <w:rsid w:val="00FA37E7"/>
    <w:rsid w:val="00FA5E0E"/>
    <w:rsid w:val="00FB0F32"/>
    <w:rsid w:val="00FC0754"/>
    <w:rsid w:val="00FC5B13"/>
    <w:rsid w:val="00FD071C"/>
    <w:rsid w:val="00FD24EB"/>
    <w:rsid w:val="00FE27F5"/>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88F3-857A-4B91-B56B-9D75B09B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8575</Words>
  <Characters>48882</Characters>
  <Application>Microsoft Office Word</Application>
  <DocSecurity>0</DocSecurity>
  <PresentationFormat>12|.DOCX</PresentationFormat>
  <Lines>407</Lines>
  <Paragraphs>114</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57343</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Bratetic, Alan</cp:lastModifiedBy>
  <cp:revision>2</cp:revision>
  <cp:lastPrinted>2018-05-10T15:03:00Z</cp:lastPrinted>
  <dcterms:created xsi:type="dcterms:W3CDTF">2020-05-15T02:27:00Z</dcterms:created>
  <dcterms:modified xsi:type="dcterms:W3CDTF">2020-05-15T02:27:00Z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